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A1C4C" w14:textId="0D920A94" w:rsidR="004C114E" w:rsidRDefault="004C114E" w:rsidP="00DD03A0">
      <w:pPr>
        <w:pStyle w:val="BodyText"/>
        <w:jc w:val="center"/>
        <w:rPr>
          <w:rFonts w:ascii="Times New Roman"/>
          <w:sz w:val="20"/>
        </w:rPr>
      </w:pPr>
    </w:p>
    <w:p w14:paraId="51EA1C4E" w14:textId="77777777" w:rsidR="004C114E" w:rsidRDefault="004C114E">
      <w:pPr>
        <w:pStyle w:val="BodyText"/>
        <w:spacing w:before="2"/>
        <w:rPr>
          <w:rFonts w:ascii="Times New Roman"/>
          <w:sz w:val="21"/>
        </w:rPr>
      </w:pPr>
    </w:p>
    <w:p w14:paraId="1B031AD0" w14:textId="5440E7E3" w:rsidR="00167127" w:rsidRDefault="00E14E3E" w:rsidP="00317AA2">
      <w:pPr>
        <w:spacing w:before="35" w:line="398" w:lineRule="auto"/>
        <w:ind w:left="720" w:right="1741" w:firstLine="720"/>
        <w:rPr>
          <w:b/>
          <w:sz w:val="32"/>
        </w:rPr>
      </w:pPr>
      <w:r>
        <w:rPr>
          <w:b/>
          <w:sz w:val="32"/>
        </w:rPr>
        <w:t>LETTERKENNY</w:t>
      </w:r>
      <w:r w:rsidR="00DD03A0">
        <w:rPr>
          <w:b/>
          <w:sz w:val="32"/>
        </w:rPr>
        <w:t xml:space="preserve"> INSTITUTE OF</w:t>
      </w:r>
      <w:r w:rsidR="0076520D">
        <w:rPr>
          <w:b/>
          <w:sz w:val="32"/>
        </w:rPr>
        <w:t xml:space="preserve"> </w:t>
      </w:r>
      <w:r w:rsidR="00DD03A0">
        <w:rPr>
          <w:b/>
          <w:sz w:val="32"/>
        </w:rPr>
        <w:t>TECHNOLOGY,</w:t>
      </w:r>
    </w:p>
    <w:p w14:paraId="51EA1C4F" w14:textId="5930B7F4" w:rsidR="004C114E" w:rsidRDefault="00A63DA9" w:rsidP="00317AA2">
      <w:pPr>
        <w:spacing w:before="35" w:line="398" w:lineRule="auto"/>
        <w:ind w:left="2783" w:right="1741" w:hanging="623"/>
        <w:rPr>
          <w:b/>
          <w:sz w:val="32"/>
        </w:rPr>
      </w:pPr>
      <w:r>
        <w:rPr>
          <w:b/>
          <w:sz w:val="32"/>
        </w:rPr>
        <w:t>ERASMUS</w:t>
      </w:r>
      <w:bookmarkStart w:id="0" w:name="_GoBack"/>
      <w:bookmarkEnd w:id="0"/>
      <w:r>
        <w:rPr>
          <w:b/>
          <w:sz w:val="32"/>
        </w:rPr>
        <w:t xml:space="preserve"> POLICY STATEMENT</w:t>
      </w:r>
    </w:p>
    <w:p w14:paraId="51EA1C50" w14:textId="77777777" w:rsidR="004C114E" w:rsidRDefault="004C114E">
      <w:pPr>
        <w:pStyle w:val="BodyText"/>
        <w:spacing w:before="6"/>
        <w:rPr>
          <w:b/>
          <w:sz w:val="41"/>
        </w:rPr>
      </w:pPr>
    </w:p>
    <w:p w14:paraId="51EA1C51" w14:textId="51ED646D" w:rsidR="004C114E" w:rsidRDefault="00A63DA9" w:rsidP="007B4CBA">
      <w:pPr>
        <w:pStyle w:val="Heading1"/>
        <w:ind w:left="0"/>
      </w:pPr>
      <w:r>
        <w:t>Overall Strategy</w:t>
      </w:r>
      <w:r w:rsidR="001903F3">
        <w:t xml:space="preserve"> – Erasmus</w:t>
      </w:r>
      <w:r w:rsidR="00AE3CD2">
        <w:t>+</w:t>
      </w:r>
      <w:r w:rsidR="001903F3">
        <w:t xml:space="preserve"> </w:t>
      </w:r>
      <w:r w:rsidR="00AE3CD2">
        <w:t xml:space="preserve">as a Driver of Internationalisation and Research </w:t>
      </w:r>
    </w:p>
    <w:p w14:paraId="57033EAB" w14:textId="15EE332B" w:rsidR="006A046A" w:rsidRDefault="00AE6F46" w:rsidP="007D48EF">
      <w:pPr>
        <w:pStyle w:val="BodyText"/>
        <w:spacing w:before="160"/>
        <w:ind w:right="114"/>
        <w:jc w:val="both"/>
      </w:pPr>
      <w:r>
        <w:rPr>
          <w:w w:val="102"/>
        </w:rPr>
        <w:t>T</w:t>
      </w:r>
      <w:r>
        <w:rPr>
          <w:spacing w:val="1"/>
          <w:w w:val="102"/>
        </w:rPr>
        <w:t>h</w:t>
      </w:r>
      <w:r>
        <w:rPr>
          <w:w w:val="102"/>
        </w:rPr>
        <w:t>e</w:t>
      </w:r>
      <w:r>
        <w:rPr>
          <w:spacing w:val="3"/>
        </w:rPr>
        <w:t xml:space="preserve"> </w:t>
      </w:r>
      <w:r>
        <w:rPr>
          <w:w w:val="102"/>
        </w:rPr>
        <w:t>Er</w:t>
      </w:r>
      <w:r>
        <w:rPr>
          <w:spacing w:val="1"/>
          <w:w w:val="102"/>
        </w:rPr>
        <w:t>a</w:t>
      </w:r>
      <w:r>
        <w:rPr>
          <w:w w:val="102"/>
        </w:rPr>
        <w:t>s</w:t>
      </w:r>
      <w:r>
        <w:rPr>
          <w:spacing w:val="2"/>
          <w:w w:val="102"/>
        </w:rPr>
        <w:t>m</w:t>
      </w:r>
      <w:r>
        <w:rPr>
          <w:spacing w:val="1"/>
          <w:w w:val="102"/>
        </w:rPr>
        <w:t>u</w:t>
      </w:r>
      <w:r>
        <w:rPr>
          <w:w w:val="102"/>
        </w:rPr>
        <w:t>s+</w:t>
      </w:r>
      <w:r>
        <w:rPr>
          <w:spacing w:val="3"/>
        </w:rPr>
        <w:t xml:space="preserve"> </w:t>
      </w:r>
      <w:r>
        <w:rPr>
          <w:spacing w:val="1"/>
          <w:w w:val="102"/>
        </w:rPr>
        <w:t>p</w:t>
      </w:r>
      <w:r>
        <w:rPr>
          <w:w w:val="102"/>
        </w:rPr>
        <w:t>r</w:t>
      </w:r>
      <w:r>
        <w:rPr>
          <w:spacing w:val="1"/>
          <w:w w:val="102"/>
        </w:rPr>
        <w:t>o</w:t>
      </w:r>
      <w:r>
        <w:rPr>
          <w:w w:val="102"/>
        </w:rPr>
        <w:t>gr</w:t>
      </w:r>
      <w:r>
        <w:rPr>
          <w:spacing w:val="1"/>
          <w:w w:val="102"/>
        </w:rPr>
        <w:t>a</w:t>
      </w:r>
      <w:r>
        <w:rPr>
          <w:spacing w:val="2"/>
          <w:w w:val="102"/>
        </w:rPr>
        <w:t>mm</w:t>
      </w:r>
      <w:r>
        <w:rPr>
          <w:w w:val="102"/>
        </w:rPr>
        <w:t>e</w:t>
      </w:r>
      <w:r>
        <w:rPr>
          <w:spacing w:val="3"/>
        </w:rPr>
        <w:t xml:space="preserve"> </w:t>
      </w:r>
      <w:r>
        <w:rPr>
          <w:spacing w:val="1"/>
          <w:w w:val="102"/>
        </w:rPr>
        <w:t>20</w:t>
      </w:r>
      <w:r w:rsidR="007F3448">
        <w:rPr>
          <w:spacing w:val="1"/>
          <w:w w:val="102"/>
        </w:rPr>
        <w:t>20</w:t>
      </w:r>
      <w:r>
        <w:rPr>
          <w:w w:val="34"/>
        </w:rPr>
        <w:t>-­‐</w:t>
      </w:r>
      <w:r>
        <w:rPr>
          <w:spacing w:val="1"/>
          <w:w w:val="102"/>
        </w:rPr>
        <w:t>202</w:t>
      </w:r>
      <w:r w:rsidR="007F3448">
        <w:rPr>
          <w:spacing w:val="1"/>
          <w:w w:val="102"/>
        </w:rPr>
        <w:t>7</w:t>
      </w:r>
      <w:r>
        <w:rPr>
          <w:w w:val="102"/>
        </w:rPr>
        <w:t>,</w:t>
      </w:r>
      <w:r>
        <w:rPr>
          <w:spacing w:val="2"/>
        </w:rPr>
        <w:t xml:space="preserve"> </w:t>
      </w:r>
      <w:r>
        <w:rPr>
          <w:spacing w:val="1"/>
          <w:w w:val="102"/>
        </w:rPr>
        <w:t>p</w:t>
      </w:r>
      <w:r>
        <w:rPr>
          <w:w w:val="102"/>
        </w:rPr>
        <w:t>ri</w:t>
      </w:r>
      <w:r>
        <w:rPr>
          <w:spacing w:val="1"/>
          <w:w w:val="102"/>
        </w:rPr>
        <w:t>o</w:t>
      </w:r>
      <w:r>
        <w:rPr>
          <w:w w:val="102"/>
        </w:rPr>
        <w:t>ritis</w:t>
      </w:r>
      <w:r>
        <w:rPr>
          <w:spacing w:val="1"/>
          <w:w w:val="102"/>
        </w:rPr>
        <w:t>e</w:t>
      </w:r>
      <w:r>
        <w:rPr>
          <w:w w:val="102"/>
        </w:rPr>
        <w:t>s</w:t>
      </w:r>
      <w:r>
        <w:rPr>
          <w:spacing w:val="2"/>
        </w:rPr>
        <w:t xml:space="preserve"> </w:t>
      </w:r>
      <w:r>
        <w:rPr>
          <w:w w:val="102"/>
        </w:rPr>
        <w:t>i</w:t>
      </w:r>
      <w:r>
        <w:rPr>
          <w:spacing w:val="1"/>
          <w:w w:val="102"/>
        </w:rPr>
        <w:t>n</w:t>
      </w:r>
      <w:r>
        <w:rPr>
          <w:w w:val="102"/>
        </w:rPr>
        <w:t>v</w:t>
      </w:r>
      <w:r>
        <w:rPr>
          <w:spacing w:val="1"/>
          <w:w w:val="102"/>
        </w:rPr>
        <w:t>e</w:t>
      </w:r>
      <w:r>
        <w:rPr>
          <w:w w:val="102"/>
        </w:rPr>
        <w:t>st</w:t>
      </w:r>
      <w:r>
        <w:rPr>
          <w:spacing w:val="2"/>
          <w:w w:val="102"/>
        </w:rPr>
        <w:t>m</w:t>
      </w:r>
      <w:r>
        <w:rPr>
          <w:spacing w:val="1"/>
          <w:w w:val="102"/>
        </w:rPr>
        <w:t>en</w:t>
      </w:r>
      <w:r>
        <w:rPr>
          <w:w w:val="102"/>
        </w:rPr>
        <w:t>t</w:t>
      </w:r>
      <w:r>
        <w:rPr>
          <w:spacing w:val="2"/>
        </w:rPr>
        <w:t xml:space="preserve"> </w:t>
      </w:r>
      <w:r>
        <w:rPr>
          <w:w w:val="102"/>
        </w:rPr>
        <w:t>in</w:t>
      </w:r>
      <w:r>
        <w:rPr>
          <w:spacing w:val="3"/>
        </w:rPr>
        <w:t xml:space="preserve"> </w:t>
      </w:r>
      <w:r>
        <w:rPr>
          <w:spacing w:val="1"/>
          <w:w w:val="102"/>
        </w:rPr>
        <w:t>peop</w:t>
      </w:r>
      <w:r>
        <w:rPr>
          <w:w w:val="102"/>
        </w:rPr>
        <w:t>l</w:t>
      </w:r>
      <w:r>
        <w:rPr>
          <w:spacing w:val="1"/>
          <w:w w:val="102"/>
        </w:rPr>
        <w:t>e</w:t>
      </w:r>
      <w:r>
        <w:rPr>
          <w:w w:val="102"/>
        </w:rPr>
        <w:t>,</w:t>
      </w:r>
      <w:r>
        <w:rPr>
          <w:spacing w:val="2"/>
        </w:rPr>
        <w:t xml:space="preserve"> </w:t>
      </w:r>
      <w:r>
        <w:rPr>
          <w:w w:val="102"/>
        </w:rPr>
        <w:t>as</w:t>
      </w:r>
      <w:r>
        <w:rPr>
          <w:spacing w:val="2"/>
        </w:rPr>
        <w:t xml:space="preserve"> </w:t>
      </w:r>
      <w:r>
        <w:rPr>
          <w:w w:val="102"/>
        </w:rPr>
        <w:t>a</w:t>
      </w:r>
      <w:r>
        <w:rPr>
          <w:spacing w:val="3"/>
        </w:rPr>
        <w:t xml:space="preserve"> </w:t>
      </w:r>
      <w:r>
        <w:rPr>
          <w:spacing w:val="2"/>
          <w:w w:val="102"/>
        </w:rPr>
        <w:t>m</w:t>
      </w:r>
      <w:r>
        <w:rPr>
          <w:spacing w:val="1"/>
          <w:w w:val="102"/>
        </w:rPr>
        <w:t>ean</w:t>
      </w:r>
      <w:r>
        <w:rPr>
          <w:w w:val="102"/>
        </w:rPr>
        <w:t>s</w:t>
      </w:r>
      <w:r>
        <w:rPr>
          <w:spacing w:val="2"/>
        </w:rPr>
        <w:t xml:space="preserve"> </w:t>
      </w:r>
      <w:r>
        <w:rPr>
          <w:spacing w:val="1"/>
          <w:w w:val="102"/>
        </w:rPr>
        <w:t>o</w:t>
      </w:r>
      <w:r>
        <w:rPr>
          <w:w w:val="102"/>
        </w:rPr>
        <w:t>f</w:t>
      </w:r>
      <w:r>
        <w:rPr>
          <w:spacing w:val="2"/>
        </w:rPr>
        <w:t xml:space="preserve"> </w:t>
      </w:r>
      <w:r>
        <w:rPr>
          <w:w w:val="102"/>
        </w:rPr>
        <w:t>gr</w:t>
      </w:r>
      <w:r>
        <w:rPr>
          <w:spacing w:val="1"/>
          <w:w w:val="102"/>
        </w:rPr>
        <w:t>ow</w:t>
      </w:r>
      <w:r>
        <w:rPr>
          <w:w w:val="102"/>
        </w:rPr>
        <w:t>th</w:t>
      </w:r>
      <w:r>
        <w:rPr>
          <w:spacing w:val="3"/>
        </w:rPr>
        <w:t xml:space="preserve"> </w:t>
      </w:r>
      <w:r>
        <w:rPr>
          <w:w w:val="102"/>
        </w:rPr>
        <w:t>a</w:t>
      </w:r>
      <w:r>
        <w:rPr>
          <w:spacing w:val="1"/>
          <w:w w:val="102"/>
        </w:rPr>
        <w:t>n</w:t>
      </w:r>
      <w:r>
        <w:rPr>
          <w:w w:val="102"/>
        </w:rPr>
        <w:t xml:space="preserve">d </w:t>
      </w:r>
      <w:r>
        <w:t xml:space="preserve">prosperity for the region and beyond. </w:t>
      </w:r>
      <w:r w:rsidR="00E14E3E">
        <w:t>Letterkenny</w:t>
      </w:r>
      <w:r w:rsidR="00061B7A">
        <w:t xml:space="preserve"> Institute</w:t>
      </w:r>
      <w:r>
        <w:t xml:space="preserve"> of Technology’s</w:t>
      </w:r>
      <w:r w:rsidR="0001648A">
        <w:t xml:space="preserve"> (L</w:t>
      </w:r>
      <w:r w:rsidR="00981082">
        <w:t>YIT</w:t>
      </w:r>
      <w:r w:rsidR="0001648A">
        <w:t>)</w:t>
      </w:r>
      <w:r>
        <w:t xml:space="preserve"> </w:t>
      </w:r>
      <w:r w:rsidR="0001648A">
        <w:t>S</w:t>
      </w:r>
      <w:r>
        <w:t xml:space="preserve">trategic </w:t>
      </w:r>
      <w:r w:rsidR="0001648A">
        <w:t>Plan (2019-2023 p20)</w:t>
      </w:r>
      <w:r>
        <w:t xml:space="preserve"> </w:t>
      </w:r>
      <w:r w:rsidR="0001648A">
        <w:t>reflections the important of internationalisation</w:t>
      </w:r>
      <w:r>
        <w:t xml:space="preserve"> “</w:t>
      </w:r>
      <w:r w:rsidR="0001648A">
        <w:t>this plan will be aimed at strengthening ties with national and international partner colleges to facilitate increased student and staff mobility</w:t>
      </w:r>
      <w:r w:rsidRPr="00E370F0">
        <w:t>”</w:t>
      </w:r>
      <w:r w:rsidR="0001648A">
        <w:t xml:space="preserve"> </w:t>
      </w:r>
      <w:r w:rsidRPr="00E370F0">
        <w:t>acknowledg</w:t>
      </w:r>
      <w:r w:rsidR="0001648A">
        <w:t xml:space="preserve">es </w:t>
      </w:r>
      <w:r>
        <w:t>this priority.</w:t>
      </w:r>
      <w:r w:rsidR="007D48EF">
        <w:t xml:space="preserve"> </w:t>
      </w:r>
      <w:r w:rsidR="006A046A" w:rsidRPr="006A046A">
        <w:t>The</w:t>
      </w:r>
      <w:r w:rsidR="00E93F42">
        <w:t xml:space="preserve"> </w:t>
      </w:r>
      <w:r w:rsidR="006A046A" w:rsidRPr="006A046A">
        <w:t>need</w:t>
      </w:r>
      <w:r w:rsidR="00E93F42">
        <w:t xml:space="preserve"> </w:t>
      </w:r>
      <w:r w:rsidR="006A046A" w:rsidRPr="006A046A">
        <w:t>for</w:t>
      </w:r>
      <w:r w:rsidR="00545B5A">
        <w:t xml:space="preserve"> </w:t>
      </w:r>
      <w:r w:rsidR="006A046A" w:rsidRPr="006A046A">
        <w:t>HEIs to embrace internationalisation has never been greater. Inter alia, the increasing demand for international education, the globalisation of business, the ready availability of information and communication technologies, the pressure for higher education institutions to self-fund and the growing influence of some major world economies have, in the view of</w:t>
      </w:r>
      <w:r w:rsidR="008E73BA">
        <w:t xml:space="preserve"> </w:t>
      </w:r>
      <w:r w:rsidR="006A046A" w:rsidRPr="006A046A">
        <w:t>many commentators, positioned internationalisation</w:t>
      </w:r>
      <w:r w:rsidR="00E93F42">
        <w:t xml:space="preserve"> </w:t>
      </w:r>
      <w:r w:rsidR="006A046A" w:rsidRPr="006A046A">
        <w:t>centrally</w:t>
      </w:r>
      <w:r w:rsidR="00E93F42">
        <w:t xml:space="preserve"> </w:t>
      </w:r>
      <w:r w:rsidR="006A046A" w:rsidRPr="006A046A">
        <w:t>in</w:t>
      </w:r>
      <w:r w:rsidR="00E93F42">
        <w:t xml:space="preserve"> </w:t>
      </w:r>
      <w:r w:rsidR="006A046A" w:rsidRPr="006A046A">
        <w:t>the strategic thinking of many institutions.</w:t>
      </w:r>
      <w:r w:rsidR="006A046A">
        <w:t xml:space="preserve"> </w:t>
      </w:r>
      <w:r w:rsidR="006A046A" w:rsidRPr="006A046A">
        <w:t xml:space="preserve">Internationalisation is central to many of </w:t>
      </w:r>
      <w:r w:rsidR="0001648A">
        <w:t>LYIT</w:t>
      </w:r>
      <w:r w:rsidR="006A046A" w:rsidRPr="006A046A">
        <w:t>’s ambitions.</w:t>
      </w:r>
      <w:r w:rsidR="0001648A">
        <w:t xml:space="preserve"> One of L</w:t>
      </w:r>
      <w:r w:rsidR="00981082">
        <w:t>YIT</w:t>
      </w:r>
      <w:r w:rsidR="0001648A">
        <w:t>’s objectives</w:t>
      </w:r>
      <w:r w:rsidR="00981082">
        <w:t xml:space="preserve"> in our Strategic </w:t>
      </w:r>
      <w:r w:rsidR="00D91124">
        <w:t>Plan</w:t>
      </w:r>
      <w:r w:rsidR="00326AAE">
        <w:t xml:space="preserve"> is</w:t>
      </w:r>
      <w:r w:rsidR="0001648A">
        <w:t xml:space="preserve"> “Creating rich opportunities for national and international engagement which enhances the learning environment…” (p28 </w:t>
      </w:r>
      <w:r w:rsidR="00D91124">
        <w:t>LYIT</w:t>
      </w:r>
      <w:r w:rsidR="0001648A">
        <w:t xml:space="preserve"> Strategic Plan 2019 – 2023) </w:t>
      </w:r>
    </w:p>
    <w:p w14:paraId="7C850F3F" w14:textId="77777777" w:rsidR="007D48EF" w:rsidRDefault="007D48EF" w:rsidP="007D48EF">
      <w:pPr>
        <w:pStyle w:val="BodyText"/>
        <w:spacing w:line="290" w:lineRule="auto"/>
        <w:ind w:right="259"/>
      </w:pPr>
    </w:p>
    <w:p w14:paraId="1CAFF6E8" w14:textId="6D42D394" w:rsidR="007D48EF" w:rsidRDefault="0001648A" w:rsidP="00613170">
      <w:pPr>
        <w:jc w:val="both"/>
      </w:pPr>
      <w:r>
        <w:t>L</w:t>
      </w:r>
      <w:r w:rsidR="00981082">
        <w:t xml:space="preserve">YIT </w:t>
      </w:r>
      <w:r w:rsidR="007D48EF" w:rsidRPr="00A045B4">
        <w:t>will continue to establish and maintain significan</w:t>
      </w:r>
      <w:r w:rsidR="004B7F36">
        <w:t>t</w:t>
      </w:r>
      <w:r w:rsidR="007D48EF" w:rsidRPr="00A045B4">
        <w:t xml:space="preserve"> </w:t>
      </w:r>
      <w:r w:rsidR="00613170" w:rsidRPr="00A045B4">
        <w:t>high-quality</w:t>
      </w:r>
      <w:r w:rsidR="007D48EF" w:rsidRPr="00A045B4">
        <w:t xml:space="preserve"> strategic partnerships with selected overseas higher education institutions, which align with the Institute’s innovation, </w:t>
      </w:r>
      <w:r w:rsidR="00BF0DA5" w:rsidRPr="00A045B4">
        <w:t>research,</w:t>
      </w:r>
      <w:r w:rsidR="007D48EF" w:rsidRPr="00A045B4">
        <w:t xml:space="preserve"> and entrepreneurship ecosystem. Priority is therefore given to signing </w:t>
      </w:r>
      <w:r w:rsidR="004B7F36">
        <w:t>inter-institutional</w:t>
      </w:r>
      <w:r w:rsidR="007D48EF" w:rsidRPr="00A045B4">
        <w:t xml:space="preserve"> agreements with HEIs where there is a strong </w:t>
      </w:r>
      <w:r w:rsidR="007D48EF" w:rsidRPr="00A045B4">
        <w:rPr>
          <w:w w:val="102"/>
        </w:rPr>
        <w:t>possibility,</w:t>
      </w:r>
      <w:r w:rsidR="007D48EF" w:rsidRPr="00A045B4">
        <w:t xml:space="preserve"> </w:t>
      </w:r>
      <w:r w:rsidR="007D48EF" w:rsidRPr="00A045B4">
        <w:rPr>
          <w:w w:val="102"/>
        </w:rPr>
        <w:t>not</w:t>
      </w:r>
      <w:r w:rsidR="007D48EF" w:rsidRPr="00A045B4">
        <w:t xml:space="preserve"> </w:t>
      </w:r>
      <w:r w:rsidR="007D48EF" w:rsidRPr="00A045B4">
        <w:rPr>
          <w:w w:val="102"/>
        </w:rPr>
        <w:t>only</w:t>
      </w:r>
      <w:r w:rsidR="007D48EF" w:rsidRPr="00A045B4">
        <w:t xml:space="preserve"> </w:t>
      </w:r>
      <w:r w:rsidR="007D48EF" w:rsidRPr="00A045B4">
        <w:rPr>
          <w:w w:val="102"/>
        </w:rPr>
        <w:t>of</w:t>
      </w:r>
      <w:r w:rsidR="007D48EF" w:rsidRPr="00A045B4">
        <w:t xml:space="preserve"> </w:t>
      </w:r>
      <w:r w:rsidR="007D48EF" w:rsidRPr="00A045B4">
        <w:rPr>
          <w:w w:val="102"/>
        </w:rPr>
        <w:t>balanced</w:t>
      </w:r>
      <w:r w:rsidR="007D48EF" w:rsidRPr="00A045B4">
        <w:t xml:space="preserve"> </w:t>
      </w:r>
      <w:r w:rsidR="007D48EF" w:rsidRPr="00A045B4">
        <w:rPr>
          <w:w w:val="102"/>
        </w:rPr>
        <w:t>two</w:t>
      </w:r>
      <w:r w:rsidR="007D48EF" w:rsidRPr="00A045B4">
        <w:rPr>
          <w:w w:val="34"/>
        </w:rPr>
        <w:t>-­‐</w:t>
      </w:r>
      <w:r w:rsidR="007D48EF" w:rsidRPr="00A045B4">
        <w:rPr>
          <w:w w:val="102"/>
        </w:rPr>
        <w:t>way</w:t>
      </w:r>
      <w:r w:rsidR="007D48EF" w:rsidRPr="00A045B4">
        <w:t xml:space="preserve"> </w:t>
      </w:r>
      <w:r w:rsidR="007D48EF" w:rsidRPr="00A045B4">
        <w:rPr>
          <w:w w:val="102"/>
        </w:rPr>
        <w:t>mobility,</w:t>
      </w:r>
      <w:r w:rsidR="007D48EF" w:rsidRPr="00A045B4">
        <w:t xml:space="preserve"> </w:t>
      </w:r>
      <w:r w:rsidR="007D48EF" w:rsidRPr="00A045B4">
        <w:rPr>
          <w:w w:val="102"/>
        </w:rPr>
        <w:t>but</w:t>
      </w:r>
      <w:r w:rsidR="007D48EF" w:rsidRPr="00A045B4">
        <w:t xml:space="preserve"> </w:t>
      </w:r>
      <w:r w:rsidR="007D48EF" w:rsidRPr="00A045B4">
        <w:rPr>
          <w:w w:val="102"/>
        </w:rPr>
        <w:t>also</w:t>
      </w:r>
      <w:r w:rsidR="007D48EF" w:rsidRPr="00A045B4">
        <w:t xml:space="preserve"> </w:t>
      </w:r>
      <w:r w:rsidR="007D48EF" w:rsidRPr="00A045B4">
        <w:rPr>
          <w:w w:val="102"/>
        </w:rPr>
        <w:t>the</w:t>
      </w:r>
      <w:r w:rsidR="007D48EF" w:rsidRPr="00A045B4">
        <w:t xml:space="preserve"> </w:t>
      </w:r>
      <w:r w:rsidR="007D48EF" w:rsidRPr="00A045B4">
        <w:rPr>
          <w:w w:val="102"/>
        </w:rPr>
        <w:t>potential</w:t>
      </w:r>
      <w:r w:rsidR="007D48EF" w:rsidRPr="00A045B4">
        <w:t xml:space="preserve"> </w:t>
      </w:r>
      <w:r w:rsidR="007D48EF" w:rsidRPr="00A045B4">
        <w:rPr>
          <w:w w:val="102"/>
        </w:rPr>
        <w:t>for</w:t>
      </w:r>
      <w:r w:rsidR="007D48EF" w:rsidRPr="00A045B4">
        <w:t xml:space="preserve"> </w:t>
      </w:r>
      <w:r w:rsidR="007D48EF" w:rsidRPr="00A045B4">
        <w:rPr>
          <w:w w:val="102"/>
        </w:rPr>
        <w:t>“added</w:t>
      </w:r>
      <w:r w:rsidR="007D48EF" w:rsidRPr="00A045B4">
        <w:t xml:space="preserve"> </w:t>
      </w:r>
      <w:r w:rsidR="007D48EF" w:rsidRPr="00A045B4">
        <w:rPr>
          <w:w w:val="102"/>
        </w:rPr>
        <w:t xml:space="preserve">value” </w:t>
      </w:r>
      <w:r w:rsidR="007D48EF" w:rsidRPr="00A045B4">
        <w:t>collaborations, such as mutually interesting research and curriculum development areas, as well valuable industry training opportunities for students.</w:t>
      </w:r>
    </w:p>
    <w:p w14:paraId="6AE37519" w14:textId="258D93C0" w:rsidR="00981082" w:rsidRDefault="00981082" w:rsidP="007B4CBA">
      <w:pPr>
        <w:pStyle w:val="BodyText"/>
        <w:spacing w:before="160"/>
        <w:ind w:right="114"/>
        <w:jc w:val="both"/>
      </w:pPr>
      <w:r>
        <w:t xml:space="preserve">Internationalisation within LYIT reflects the vision of our </w:t>
      </w:r>
      <w:r w:rsidR="00412172">
        <w:t>S</w:t>
      </w:r>
      <w:r w:rsidR="00A63DA9">
        <w:t>trategy</w:t>
      </w:r>
      <w:r>
        <w:t xml:space="preserve"> Plan and the CUA Internationalisation Framework </w:t>
      </w:r>
      <w:r w:rsidR="00A63DA9">
        <w:t>rest</w:t>
      </w:r>
      <w:r>
        <w:t>ing</w:t>
      </w:r>
      <w:r w:rsidR="00A63DA9">
        <w:t xml:space="preserve"> on </w:t>
      </w:r>
      <w:r w:rsidR="009110EA">
        <w:t>three</w:t>
      </w:r>
      <w:r w:rsidR="00A63DA9">
        <w:t xml:space="preserve"> key pillars:</w:t>
      </w:r>
      <w:r w:rsidR="009110EA">
        <w:t xml:space="preserve"> Internationalisation Abroad,</w:t>
      </w:r>
      <w:r w:rsidR="00545B5A">
        <w:t xml:space="preserve"> </w:t>
      </w:r>
      <w:r w:rsidR="00EE37B0">
        <w:t>Internationalisation at Home and</w:t>
      </w:r>
      <w:r w:rsidR="0028740E">
        <w:t xml:space="preserve"> the</w:t>
      </w:r>
      <w:r w:rsidR="00EE37B0">
        <w:t xml:space="preserve"> </w:t>
      </w:r>
      <w:r w:rsidR="0028740E">
        <w:t>development of</w:t>
      </w:r>
      <w:r w:rsidR="00094A0A" w:rsidRPr="00094A0A">
        <w:t xml:space="preserve"> </w:t>
      </w:r>
      <w:r w:rsidR="003D387F">
        <w:t>Institute platforms to promote</w:t>
      </w:r>
      <w:r w:rsidR="0088178F">
        <w:t xml:space="preserve"> internationally</w:t>
      </w:r>
      <w:r w:rsidR="00094A0A" w:rsidRPr="00094A0A">
        <w:t xml:space="preserve"> focused</w:t>
      </w:r>
      <w:r w:rsidR="0088178F">
        <w:t xml:space="preserve"> </w:t>
      </w:r>
      <w:r w:rsidR="00094A0A" w:rsidRPr="00094A0A">
        <w:t xml:space="preserve">initiatives </w:t>
      </w:r>
      <w:r w:rsidR="003F5544">
        <w:t xml:space="preserve">identified </w:t>
      </w:r>
      <w:r w:rsidR="006F1AFC">
        <w:t>under</w:t>
      </w:r>
      <w:r w:rsidR="003F5544">
        <w:t xml:space="preserve"> the first two</w:t>
      </w:r>
      <w:r w:rsidR="007D0585">
        <w:t xml:space="preserve"> core</w:t>
      </w:r>
      <w:r w:rsidR="003F5544">
        <w:t xml:space="preserve"> pillars.</w:t>
      </w:r>
      <w:r>
        <w:t xml:space="preserve"> </w:t>
      </w:r>
      <w:r w:rsidR="00405D96" w:rsidRPr="00405D96">
        <w:t xml:space="preserve"> The new plan</w:t>
      </w:r>
      <w:r w:rsidR="00E82F13">
        <w:t xml:space="preserve"> </w:t>
      </w:r>
      <w:r w:rsidR="00405D96" w:rsidRPr="00405D96">
        <w:t xml:space="preserve">identified Internationalisation as one key </w:t>
      </w:r>
      <w:r w:rsidR="001B626D">
        <w:rPr>
          <w:b/>
          <w:bCs/>
        </w:rPr>
        <w:t>S</w:t>
      </w:r>
      <w:r w:rsidR="00405D96" w:rsidRPr="001B626D">
        <w:rPr>
          <w:b/>
          <w:bCs/>
        </w:rPr>
        <w:t xml:space="preserve">trategic </w:t>
      </w:r>
      <w:r w:rsidR="001B626D">
        <w:rPr>
          <w:b/>
          <w:bCs/>
        </w:rPr>
        <w:t>E</w:t>
      </w:r>
      <w:r w:rsidR="00405D96" w:rsidRPr="001B626D">
        <w:rPr>
          <w:b/>
          <w:bCs/>
        </w:rPr>
        <w:t>nabler</w:t>
      </w:r>
      <w:r w:rsidR="00405D96" w:rsidRPr="00405D96">
        <w:t xml:space="preserve"> and has committed to internationalising campuses, </w:t>
      </w:r>
      <w:r w:rsidR="00E00477" w:rsidRPr="00405D96">
        <w:t>activities,</w:t>
      </w:r>
      <w:r w:rsidR="00405D96" w:rsidRPr="00405D96">
        <w:t xml:space="preserve"> and provision.</w:t>
      </w:r>
      <w:r>
        <w:t xml:space="preserve"> LYIT’s Strategic Plan can be viewed at </w:t>
      </w:r>
      <w:hyperlink r:id="rId10" w:history="1">
        <w:r w:rsidRPr="00936EA0">
          <w:rPr>
            <w:rStyle w:val="Hyperlink"/>
          </w:rPr>
          <w:t>https://www.lyit.ie/Staff-Hub/Strategic-Plan</w:t>
        </w:r>
      </w:hyperlink>
    </w:p>
    <w:p w14:paraId="58F82398" w14:textId="30CB80E0" w:rsidR="007E0178" w:rsidRPr="00571512" w:rsidRDefault="007E0178" w:rsidP="007B4CBA">
      <w:pPr>
        <w:pStyle w:val="BodyText"/>
        <w:spacing w:before="160"/>
        <w:ind w:right="114"/>
        <w:jc w:val="both"/>
      </w:pPr>
      <w:r w:rsidRPr="00571512">
        <w:t xml:space="preserve">Objectives of Participation </w:t>
      </w:r>
      <w:r w:rsidR="006E5E2C" w:rsidRPr="00571512">
        <w:t>in the Erasmus+ Programme (2020-2027)</w:t>
      </w:r>
      <w:r w:rsidR="00AF3304" w:rsidRPr="00571512">
        <w:t xml:space="preserve"> – alignment with the three Pillars of </w:t>
      </w:r>
      <w:r w:rsidR="00981082" w:rsidRPr="00571512">
        <w:t xml:space="preserve"> the CUA Internationalisation Framework Strategy </w:t>
      </w:r>
      <w:r w:rsidR="00AF3304" w:rsidRPr="00571512">
        <w:t xml:space="preserve">  </w:t>
      </w:r>
    </w:p>
    <w:p w14:paraId="735E566C" w14:textId="60507508" w:rsidR="002D14A3" w:rsidRPr="00871B20" w:rsidRDefault="002D14A3" w:rsidP="007B4CBA">
      <w:pPr>
        <w:pStyle w:val="BodyText"/>
        <w:spacing w:before="160"/>
        <w:ind w:right="114"/>
        <w:jc w:val="both"/>
        <w:rPr>
          <w:u w:val="single"/>
        </w:rPr>
      </w:pPr>
      <w:r w:rsidRPr="00871B20">
        <w:rPr>
          <w:u w:val="single"/>
        </w:rPr>
        <w:t>Internationalisation Abroad Priorities</w:t>
      </w:r>
    </w:p>
    <w:p w14:paraId="5A2DF7B7" w14:textId="6E618E64" w:rsidR="002D14A3" w:rsidRPr="0065368E" w:rsidRDefault="00AA4B1B" w:rsidP="00FE7C36">
      <w:pPr>
        <w:pStyle w:val="ListParagraph"/>
        <w:numPr>
          <w:ilvl w:val="0"/>
          <w:numId w:val="3"/>
        </w:numPr>
      </w:pPr>
      <w:r w:rsidRPr="0065368E">
        <w:t xml:space="preserve">Mobility of Students and </w:t>
      </w:r>
      <w:r w:rsidR="000914FC" w:rsidRPr="0065368E">
        <w:t>S</w:t>
      </w:r>
      <w:r w:rsidRPr="0065368E">
        <w:t>taff</w:t>
      </w:r>
      <w:r w:rsidR="000914FC" w:rsidRPr="0065368E">
        <w:t xml:space="preserve"> (EU and beyond)</w:t>
      </w:r>
    </w:p>
    <w:p w14:paraId="225CD066" w14:textId="1F02D57F" w:rsidR="00AA4B1B" w:rsidRPr="0065368E" w:rsidRDefault="00FF072C" w:rsidP="00FE7C36">
      <w:pPr>
        <w:pStyle w:val="ListParagraph"/>
        <w:numPr>
          <w:ilvl w:val="0"/>
          <w:numId w:val="3"/>
        </w:numPr>
      </w:pPr>
      <w:r w:rsidRPr="0065368E">
        <w:t>Joint/double degree arrangements with credit recognition and accreditation counting towards degrees</w:t>
      </w:r>
    </w:p>
    <w:p w14:paraId="2A4E43E0" w14:textId="783313ED" w:rsidR="00916EC9" w:rsidRPr="0065368E" w:rsidRDefault="00916EC9" w:rsidP="00FE7C36">
      <w:pPr>
        <w:pStyle w:val="ListParagraph"/>
        <w:numPr>
          <w:ilvl w:val="0"/>
          <w:numId w:val="3"/>
        </w:numPr>
      </w:pPr>
      <w:r w:rsidRPr="0065368E">
        <w:t>International Student Recruitment and Support</w:t>
      </w:r>
      <w:r w:rsidR="00FF6125" w:rsidRPr="0065368E">
        <w:t>s, aligned with Education in Ireland</w:t>
      </w:r>
      <w:r w:rsidR="000914FC" w:rsidRPr="0065368E">
        <w:t>/Government Strategy</w:t>
      </w:r>
    </w:p>
    <w:p w14:paraId="0A823B32" w14:textId="178DB3D1" w:rsidR="00FF072C" w:rsidRPr="0065368E" w:rsidRDefault="001041C6" w:rsidP="00FE7C36">
      <w:pPr>
        <w:pStyle w:val="ListParagraph"/>
        <w:numPr>
          <w:ilvl w:val="0"/>
          <w:numId w:val="3"/>
        </w:numPr>
      </w:pPr>
      <w:r w:rsidRPr="0065368E">
        <w:t xml:space="preserve">Strategic </w:t>
      </w:r>
      <w:r w:rsidR="00CC32E5" w:rsidRPr="0065368E">
        <w:t>Par</w:t>
      </w:r>
      <w:r w:rsidR="006A3F89" w:rsidRPr="0065368E">
        <w:t>tnerships</w:t>
      </w:r>
      <w:r w:rsidRPr="0065368E">
        <w:t>:</w:t>
      </w:r>
      <w:r w:rsidR="006A3F89" w:rsidRPr="0065368E">
        <w:t xml:space="preserve"> </w:t>
      </w:r>
      <w:r w:rsidR="00EF777C" w:rsidRPr="0065368E">
        <w:t>Research,</w:t>
      </w:r>
      <w:r w:rsidR="006A3F89" w:rsidRPr="0065368E">
        <w:t xml:space="preserve"> and </w:t>
      </w:r>
      <w:r w:rsidR="00C5226B" w:rsidRPr="0065368E">
        <w:t xml:space="preserve">expansion of </w:t>
      </w:r>
      <w:r w:rsidRPr="0065368E">
        <w:t>research staff and capacity through mutually beneficial partnerships</w:t>
      </w:r>
    </w:p>
    <w:p w14:paraId="2987AA29" w14:textId="3B1D903C" w:rsidR="0065368E" w:rsidRPr="0065368E" w:rsidRDefault="0065368E" w:rsidP="0065368E">
      <w:pPr>
        <w:pStyle w:val="ListParagraph"/>
        <w:numPr>
          <w:ilvl w:val="0"/>
          <w:numId w:val="3"/>
        </w:numPr>
        <w:tabs>
          <w:tab w:val="left" w:pos="819"/>
          <w:tab w:val="left" w:pos="820"/>
        </w:tabs>
        <w:spacing w:before="10"/>
        <w:rPr>
          <w:sz w:val="21"/>
        </w:rPr>
      </w:pPr>
      <w:r w:rsidRPr="0065368E">
        <w:lastRenderedPageBreak/>
        <w:t>Raising the profile of the Institute’s international activities internationally</w:t>
      </w:r>
    </w:p>
    <w:p w14:paraId="37468ADA" w14:textId="259E2B66" w:rsidR="002E3AE6" w:rsidRPr="0065368E" w:rsidRDefault="0065368E" w:rsidP="0065368E">
      <w:pPr>
        <w:pStyle w:val="ListParagraph"/>
        <w:numPr>
          <w:ilvl w:val="0"/>
          <w:numId w:val="3"/>
        </w:numPr>
        <w:tabs>
          <w:tab w:val="left" w:pos="819"/>
          <w:tab w:val="left" w:pos="820"/>
        </w:tabs>
        <w:spacing w:before="15"/>
      </w:pPr>
      <w:r w:rsidRPr="0065368E">
        <w:t>Expanding the extent of engagement outside of the EU</w:t>
      </w:r>
    </w:p>
    <w:p w14:paraId="7FAF2DC2" w14:textId="6671CF52" w:rsidR="00F60632" w:rsidRPr="0065368E" w:rsidRDefault="00206F7D" w:rsidP="00FE7C36">
      <w:pPr>
        <w:pStyle w:val="ListParagraph"/>
        <w:numPr>
          <w:ilvl w:val="0"/>
          <w:numId w:val="3"/>
        </w:numPr>
      </w:pPr>
      <w:r w:rsidRPr="0065368E">
        <w:t>A</w:t>
      </w:r>
      <w:r w:rsidR="00F60632" w:rsidRPr="0065368E">
        <w:t xml:space="preserve">ccessing international/EU research funding </w:t>
      </w:r>
    </w:p>
    <w:p w14:paraId="3212BDE8" w14:textId="77777777" w:rsidR="009E74F5" w:rsidRDefault="009E74F5" w:rsidP="005225BF">
      <w:pPr>
        <w:pStyle w:val="BodyText"/>
        <w:spacing w:before="160"/>
        <w:ind w:right="114"/>
        <w:jc w:val="both"/>
      </w:pPr>
    </w:p>
    <w:p w14:paraId="2E8FACD3" w14:textId="09A695C4" w:rsidR="005225BF" w:rsidRPr="00871B20" w:rsidRDefault="005225BF" w:rsidP="007B4CBA">
      <w:pPr>
        <w:pStyle w:val="BodyText"/>
        <w:spacing w:before="160"/>
        <w:ind w:right="114"/>
        <w:jc w:val="both"/>
        <w:rPr>
          <w:u w:val="single"/>
        </w:rPr>
      </w:pPr>
      <w:r w:rsidRPr="00871B20">
        <w:rPr>
          <w:u w:val="single"/>
        </w:rPr>
        <w:t>Internationalisation at Home Priorities</w:t>
      </w:r>
    </w:p>
    <w:p w14:paraId="6C63BA1A" w14:textId="126DD493" w:rsidR="00804087" w:rsidRPr="0029177E" w:rsidRDefault="00F241A2" w:rsidP="00804087">
      <w:pPr>
        <w:pStyle w:val="ListParagraph"/>
        <w:numPr>
          <w:ilvl w:val="0"/>
          <w:numId w:val="5"/>
        </w:numPr>
        <w:rPr>
          <w:b/>
          <w:bCs/>
        </w:rPr>
      </w:pPr>
      <w:r w:rsidRPr="0029177E">
        <w:t>Internationalising the Curriculum</w:t>
      </w:r>
      <w:r w:rsidR="0029177E">
        <w:t xml:space="preserve"> (formal, </w:t>
      </w:r>
      <w:r w:rsidR="00C12786">
        <w:t>informal,</w:t>
      </w:r>
      <w:r w:rsidR="0029177E">
        <w:t xml:space="preserve"> and hidden) </w:t>
      </w:r>
    </w:p>
    <w:p w14:paraId="0B60DD57" w14:textId="0428C63B" w:rsidR="00804087" w:rsidRPr="00920529" w:rsidRDefault="00193A17" w:rsidP="00804087">
      <w:pPr>
        <w:pStyle w:val="ListParagraph"/>
        <w:numPr>
          <w:ilvl w:val="0"/>
          <w:numId w:val="5"/>
        </w:numPr>
        <w:rPr>
          <w:b/>
          <w:bCs/>
        </w:rPr>
      </w:pPr>
      <w:r>
        <w:t>Double/</w:t>
      </w:r>
      <w:r w:rsidR="00C86836">
        <w:t>joint degrees</w:t>
      </w:r>
      <w:r w:rsidR="00C12786">
        <w:t xml:space="preserve"> with strategic partners (EU and Non-EU)</w:t>
      </w:r>
    </w:p>
    <w:p w14:paraId="4525953F" w14:textId="6809BC6A" w:rsidR="00920529" w:rsidRPr="00074D40" w:rsidRDefault="00C43A0F" w:rsidP="00804087">
      <w:pPr>
        <w:pStyle w:val="ListParagraph"/>
        <w:numPr>
          <w:ilvl w:val="0"/>
          <w:numId w:val="5"/>
        </w:numPr>
        <w:rPr>
          <w:b/>
          <w:bCs/>
        </w:rPr>
      </w:pPr>
      <w:r>
        <w:t xml:space="preserve">Work placements for overseas students in </w:t>
      </w:r>
      <w:r w:rsidR="00074D40">
        <w:t>Ireland</w:t>
      </w:r>
    </w:p>
    <w:p w14:paraId="5F8C25D8" w14:textId="057B8047" w:rsidR="00074D40" w:rsidRPr="00074D40" w:rsidRDefault="00074D40" w:rsidP="00804087">
      <w:pPr>
        <w:pStyle w:val="ListParagraph"/>
        <w:numPr>
          <w:ilvl w:val="0"/>
          <w:numId w:val="5"/>
        </w:numPr>
        <w:rPr>
          <w:b/>
          <w:bCs/>
        </w:rPr>
      </w:pPr>
      <w:r>
        <w:t>Continued hosting of short-term exchange students and staff with Erasmus Partners and Key Non-EU Partners</w:t>
      </w:r>
    </w:p>
    <w:p w14:paraId="6554FF57" w14:textId="76D2556A" w:rsidR="00074D40" w:rsidRPr="00804087" w:rsidRDefault="00506A97" w:rsidP="00804087">
      <w:pPr>
        <w:pStyle w:val="ListParagraph"/>
        <w:numPr>
          <w:ilvl w:val="0"/>
          <w:numId w:val="5"/>
        </w:numPr>
        <w:rPr>
          <w:b/>
          <w:bCs/>
        </w:rPr>
      </w:pPr>
      <w:r>
        <w:t>Language studies and intercultural</w:t>
      </w:r>
      <w:r w:rsidR="004760B7">
        <w:t xml:space="preserve"> competence</w:t>
      </w:r>
      <w:r>
        <w:t xml:space="preserve"> training</w:t>
      </w:r>
      <w:r w:rsidR="004760B7">
        <w:t>/monitoring</w:t>
      </w:r>
      <w:r>
        <w:t xml:space="preserve"> initiatives for</w:t>
      </w:r>
      <w:r w:rsidR="00CA454C">
        <w:t xml:space="preserve"> all</w:t>
      </w:r>
      <w:r>
        <w:t xml:space="preserve"> staff and students </w:t>
      </w:r>
      <w:r w:rsidR="00F515EF">
        <w:t>(</w:t>
      </w:r>
      <w:r w:rsidR="00571512">
        <w:t xml:space="preserve">potential </w:t>
      </w:r>
      <w:r w:rsidR="00F515EF">
        <w:t xml:space="preserve">development </w:t>
      </w:r>
      <w:r w:rsidR="00254EA4">
        <w:t>of</w:t>
      </w:r>
      <w:r w:rsidR="00571512">
        <w:t xml:space="preserve"> a</w:t>
      </w:r>
      <w:r w:rsidR="00254EA4">
        <w:t xml:space="preserve"> centre for languages</w:t>
      </w:r>
      <w:r w:rsidR="00571512">
        <w:t xml:space="preserve"> as part of CUA</w:t>
      </w:r>
      <w:r w:rsidR="00254EA4">
        <w:t xml:space="preserve">) </w:t>
      </w:r>
    </w:p>
    <w:p w14:paraId="51EA1C53" w14:textId="77777777" w:rsidR="004C114E" w:rsidRDefault="004C114E">
      <w:pPr>
        <w:pStyle w:val="BodyText"/>
        <w:spacing w:before="7"/>
        <w:rPr>
          <w:sz w:val="19"/>
        </w:rPr>
      </w:pPr>
    </w:p>
    <w:p w14:paraId="6AD25B67" w14:textId="23097422" w:rsidR="00D111DB" w:rsidRPr="00871B20" w:rsidRDefault="00D111DB">
      <w:pPr>
        <w:pStyle w:val="BodyText"/>
        <w:spacing w:before="7"/>
        <w:rPr>
          <w:u w:val="single"/>
        </w:rPr>
      </w:pPr>
      <w:r w:rsidRPr="00871B20">
        <w:rPr>
          <w:u w:val="single"/>
        </w:rPr>
        <w:t>Institute platforms to promote internationally focused initiatives</w:t>
      </w:r>
    </w:p>
    <w:p w14:paraId="54B2CE5E" w14:textId="77777777" w:rsidR="00571512" w:rsidRDefault="00571512" w:rsidP="00B969F7">
      <w:pPr>
        <w:pStyle w:val="ListParagraph"/>
        <w:numPr>
          <w:ilvl w:val="0"/>
          <w:numId w:val="5"/>
        </w:numPr>
      </w:pPr>
      <w:r>
        <w:t xml:space="preserve">LYIT Student </w:t>
      </w:r>
      <w:r w:rsidR="00B969F7" w:rsidRPr="00B969F7">
        <w:t xml:space="preserve">Ambassador’s Programme to support internationalisation </w:t>
      </w:r>
    </w:p>
    <w:p w14:paraId="3F60FDFA" w14:textId="0121263A" w:rsidR="00B969F7" w:rsidRPr="00B969F7" w:rsidRDefault="00571512" w:rsidP="00B969F7">
      <w:pPr>
        <w:pStyle w:val="ListParagraph"/>
        <w:numPr>
          <w:ilvl w:val="0"/>
          <w:numId w:val="5"/>
        </w:numPr>
      </w:pPr>
      <w:r>
        <w:t>Promotion of LYIT International Society activities across the campus</w:t>
      </w:r>
    </w:p>
    <w:p w14:paraId="1667CC9F" w14:textId="7FE62504" w:rsidR="00B969F7" w:rsidRPr="00B969F7" w:rsidRDefault="00B969F7" w:rsidP="00B969F7">
      <w:pPr>
        <w:pStyle w:val="ListParagraph"/>
        <w:numPr>
          <w:ilvl w:val="0"/>
          <w:numId w:val="5"/>
        </w:numPr>
      </w:pPr>
      <w:r w:rsidRPr="00B969F7">
        <w:t>Erasmus + Staff Awareness Programme promoting mobilities and other key action supports</w:t>
      </w:r>
    </w:p>
    <w:p w14:paraId="7BBD300C" w14:textId="6EBC9D1D" w:rsidR="00D111DB" w:rsidRPr="00B969F7" w:rsidRDefault="00B969F7" w:rsidP="00B969F7">
      <w:pPr>
        <w:pStyle w:val="ListParagraph"/>
        <w:numPr>
          <w:ilvl w:val="0"/>
          <w:numId w:val="5"/>
        </w:numPr>
      </w:pPr>
      <w:r w:rsidRPr="00B969F7">
        <w:t>Build upon the existing collaboration with CUA partners</w:t>
      </w:r>
      <w:r w:rsidR="00061E0D">
        <w:t xml:space="preserve"> (IT Sligo and </w:t>
      </w:r>
      <w:r w:rsidR="00571512">
        <w:t>GMIT</w:t>
      </w:r>
      <w:r w:rsidR="00061E0D">
        <w:t>)</w:t>
      </w:r>
      <w:r w:rsidRPr="00B969F7">
        <w:t xml:space="preserve"> to </w:t>
      </w:r>
      <w:r w:rsidR="00571512">
        <w:t>implement the</w:t>
      </w:r>
      <w:r w:rsidRPr="00B969F7">
        <w:t xml:space="preserve"> International Strategic Framework</w:t>
      </w:r>
      <w:r w:rsidR="00F233A0">
        <w:t xml:space="preserve"> in preparation for</w:t>
      </w:r>
      <w:r w:rsidR="00351D63">
        <w:t xml:space="preserve"> designation as a Technological University</w:t>
      </w:r>
      <w:r w:rsidRPr="00B969F7">
        <w:br/>
      </w:r>
    </w:p>
    <w:p w14:paraId="191FA4EB" w14:textId="6E068DD4" w:rsidR="000D3104" w:rsidRDefault="000D3104" w:rsidP="007B4CBA">
      <w:pPr>
        <w:pStyle w:val="BodyText"/>
        <w:ind w:right="114"/>
        <w:jc w:val="both"/>
        <w:rPr>
          <w:sz w:val="19"/>
        </w:rPr>
      </w:pPr>
    </w:p>
    <w:p w14:paraId="51EA1C54" w14:textId="54E65845" w:rsidR="004C114E" w:rsidRDefault="00A63DA9" w:rsidP="007B4CBA">
      <w:pPr>
        <w:pStyle w:val="BodyText"/>
        <w:ind w:right="114"/>
        <w:jc w:val="both"/>
      </w:pPr>
      <w:r>
        <w:t xml:space="preserve">All exchange partnerships, both EU and non-EU, emerge from a thorough assessment process which ensures compatibility of curricula and quality of support, and they are based on a shared commitment to academic excellence. Our choice of partners for mobility and other cooperation activities is always based on specific needs and focused </w:t>
      </w:r>
      <w:r w:rsidR="004C6C63">
        <w:t>on</w:t>
      </w:r>
      <w:r>
        <w:t xml:space="preserve"> the future. Links are established to meet the requirements of our programmes of study, taking account of the increasingly international dimension of the curriculum and the demand for outward mobility. Strategic compatibility of research activities is another key factor in the selection of partners as we move towards broad and sustainable cooperative relationships that function</w:t>
      </w:r>
      <w:r w:rsidR="007B4CBA">
        <w:t xml:space="preserve"> </w:t>
      </w:r>
      <w:r>
        <w:t xml:space="preserve">at undergraduate, postgraduate and staff levels. While we aim to deepen our linkages with existing partners to provide further mobility opportunities for students and staff, we </w:t>
      </w:r>
      <w:r>
        <w:rPr>
          <w:spacing w:val="-3"/>
        </w:rPr>
        <w:t xml:space="preserve">are </w:t>
      </w:r>
      <w:r>
        <w:t xml:space="preserve">also mindful of the scope that exists to expand international representation among our student population, and </w:t>
      </w:r>
      <w:r w:rsidR="00571512">
        <w:t xml:space="preserve">our hopes </w:t>
      </w:r>
      <w:r>
        <w:t>of attracting high-</w:t>
      </w:r>
      <w:r w:rsidR="00D1679D">
        <w:t>caliber</w:t>
      </w:r>
      <w:r>
        <w:t xml:space="preserve"> Master and PhD students from overseas. </w:t>
      </w:r>
      <w:r w:rsidRPr="00DE321D">
        <w:t>While a significant part of our international activities will continue to involve the EU, there is a purposeful expansion into areas like</w:t>
      </w:r>
      <w:r w:rsidR="002369DB" w:rsidRPr="00DE321D">
        <w:t xml:space="preserve"> Asia/South East Asia</w:t>
      </w:r>
      <w:r w:rsidRPr="00DE321D">
        <w:t>,</w:t>
      </w:r>
      <w:r w:rsidR="002369DB" w:rsidRPr="00DE321D">
        <w:t xml:space="preserve"> North/</w:t>
      </w:r>
      <w:r w:rsidRPr="00DE321D">
        <w:t>South America and the Gulf area, much of this under the auspices of E</w:t>
      </w:r>
      <w:r w:rsidR="000A130D" w:rsidRPr="00DE321D">
        <w:t>ducation in</w:t>
      </w:r>
      <w:r w:rsidRPr="00DE321D">
        <w:t xml:space="preserve"> Ireland, the national agency with responsibility for promoting</w:t>
      </w:r>
      <w:r w:rsidRPr="00EF3BCB">
        <w:rPr>
          <w:color w:val="FF0000"/>
        </w:rPr>
        <w:t xml:space="preserve"> </w:t>
      </w:r>
      <w:r w:rsidRPr="00DE321D">
        <w:t>Ireland as a destination for international education.</w:t>
      </w:r>
      <w:r>
        <w:t xml:space="preserve"> </w:t>
      </w:r>
      <w:r w:rsidRPr="00DE321D">
        <w:t>Science (especially medical science), engineering and business are areas of particular interest. Transnational education</w:t>
      </w:r>
      <w:r w:rsidR="00994C5C" w:rsidRPr="00DE321D">
        <w:t xml:space="preserve"> (TNE)</w:t>
      </w:r>
      <w:r w:rsidRPr="00DE321D">
        <w:t xml:space="preserve"> opportunities, involving the delivery of higher education by the </w:t>
      </w:r>
      <w:r w:rsidR="001A34A4" w:rsidRPr="00DE321D">
        <w:t>Institute</w:t>
      </w:r>
      <w:r w:rsidRPr="00DE321D">
        <w:t xml:space="preserve"> abroad, are</w:t>
      </w:r>
      <w:r w:rsidR="001A34A4" w:rsidRPr="00DE321D">
        <w:t xml:space="preserve"> continuously</w:t>
      </w:r>
      <w:r w:rsidRPr="00DE321D">
        <w:t xml:space="preserve"> being</w:t>
      </w:r>
      <w:r w:rsidRPr="00DE321D">
        <w:rPr>
          <w:spacing w:val="-26"/>
        </w:rPr>
        <w:t xml:space="preserve"> </w:t>
      </w:r>
      <w:r w:rsidRPr="00DE321D">
        <w:t>explored.</w:t>
      </w:r>
    </w:p>
    <w:p w14:paraId="51EA1C55" w14:textId="77777777" w:rsidR="004C114E" w:rsidRDefault="004C114E">
      <w:pPr>
        <w:pStyle w:val="BodyText"/>
        <w:spacing w:before="7"/>
        <w:rPr>
          <w:sz w:val="19"/>
        </w:rPr>
      </w:pPr>
    </w:p>
    <w:p w14:paraId="51EA1C56" w14:textId="32F9BAB6" w:rsidR="004C114E" w:rsidRDefault="00571512" w:rsidP="007B4CBA">
      <w:pPr>
        <w:pStyle w:val="BodyText"/>
        <w:ind w:right="115"/>
        <w:jc w:val="both"/>
      </w:pPr>
      <w:r>
        <w:t xml:space="preserve">LYIT </w:t>
      </w:r>
      <w:r w:rsidR="00A63DA9">
        <w:t>is also conscious of the social and educational responsibilities of European</w:t>
      </w:r>
      <w:r w:rsidR="000E0E03">
        <w:t xml:space="preserve"> Education Institutions</w:t>
      </w:r>
      <w:r w:rsidR="00A63DA9">
        <w:t xml:space="preserve"> with regard to developing </w:t>
      </w:r>
      <w:r w:rsidR="001447F1">
        <w:t>countries and</w:t>
      </w:r>
      <w:r w:rsidR="00A63DA9">
        <w:t xml:space="preserve"> wishes to foster understanding and respect for the economic, social and biological interdependence of global life. Cooperation and capacity-building strategies that will  assist institutions and governments to improve the scale and quality of their higher education provision deserve support and may include exchanges, education and training programmes for international scholars,</w:t>
      </w:r>
      <w:r w:rsidR="00A63DA9">
        <w:rPr>
          <w:spacing w:val="-5"/>
        </w:rPr>
        <w:t xml:space="preserve"> </w:t>
      </w:r>
      <w:r w:rsidR="00A63DA9">
        <w:t>technical</w:t>
      </w:r>
      <w:r w:rsidR="00A63DA9">
        <w:rPr>
          <w:spacing w:val="-6"/>
        </w:rPr>
        <w:t xml:space="preserve"> </w:t>
      </w:r>
      <w:r w:rsidR="00A63DA9">
        <w:t>assistance</w:t>
      </w:r>
      <w:r w:rsidR="00A63DA9">
        <w:rPr>
          <w:spacing w:val="-3"/>
        </w:rPr>
        <w:t xml:space="preserve"> </w:t>
      </w:r>
      <w:r w:rsidR="00A63DA9">
        <w:t>and</w:t>
      </w:r>
      <w:r w:rsidR="00A63DA9">
        <w:rPr>
          <w:spacing w:val="-5"/>
        </w:rPr>
        <w:t xml:space="preserve"> </w:t>
      </w:r>
      <w:r w:rsidR="00A63DA9">
        <w:t>support,</w:t>
      </w:r>
      <w:r w:rsidR="00A63DA9">
        <w:rPr>
          <w:spacing w:val="-4"/>
        </w:rPr>
        <w:t xml:space="preserve"> </w:t>
      </w:r>
      <w:r w:rsidR="00A63DA9">
        <w:t>provision</w:t>
      </w:r>
      <w:r w:rsidR="00A63DA9">
        <w:rPr>
          <w:spacing w:val="-6"/>
        </w:rPr>
        <w:t xml:space="preserve"> </w:t>
      </w:r>
      <w:r w:rsidR="00A63DA9">
        <w:t>of</w:t>
      </w:r>
      <w:r w:rsidR="00A63DA9">
        <w:rPr>
          <w:spacing w:val="-4"/>
        </w:rPr>
        <w:t xml:space="preserve"> </w:t>
      </w:r>
      <w:r w:rsidR="00A63DA9">
        <w:t>scholarships</w:t>
      </w:r>
      <w:r w:rsidR="00A63DA9">
        <w:rPr>
          <w:spacing w:val="-5"/>
        </w:rPr>
        <w:t xml:space="preserve"> </w:t>
      </w:r>
      <w:r w:rsidR="00A63DA9">
        <w:t>and</w:t>
      </w:r>
      <w:r w:rsidR="00A63DA9">
        <w:rPr>
          <w:spacing w:val="-5"/>
        </w:rPr>
        <w:t xml:space="preserve"> </w:t>
      </w:r>
      <w:r w:rsidR="00A63DA9">
        <w:t>joint</w:t>
      </w:r>
      <w:r w:rsidR="00A63DA9">
        <w:rPr>
          <w:spacing w:val="-5"/>
        </w:rPr>
        <w:t xml:space="preserve"> </w:t>
      </w:r>
      <w:r w:rsidR="00A63DA9">
        <w:t>degree</w:t>
      </w:r>
      <w:r w:rsidR="00A63DA9">
        <w:rPr>
          <w:spacing w:val="-3"/>
        </w:rPr>
        <w:t xml:space="preserve"> </w:t>
      </w:r>
      <w:r w:rsidR="00A63DA9">
        <w:t>programmes.</w:t>
      </w:r>
    </w:p>
    <w:p w14:paraId="51EA1C57" w14:textId="77777777" w:rsidR="004C114E" w:rsidRDefault="004C114E">
      <w:pPr>
        <w:pStyle w:val="BodyText"/>
        <w:spacing w:before="7"/>
        <w:rPr>
          <w:sz w:val="19"/>
        </w:rPr>
      </w:pPr>
    </w:p>
    <w:p w14:paraId="51EA1C5A" w14:textId="674EE753" w:rsidR="004C114E" w:rsidRDefault="00C957E8" w:rsidP="008F6F13">
      <w:pPr>
        <w:jc w:val="both"/>
      </w:pPr>
      <w:r>
        <w:t>LY</w:t>
      </w:r>
      <w:r w:rsidR="008F6F13">
        <w:t>IT</w:t>
      </w:r>
      <w:r w:rsidR="00A63DA9" w:rsidRPr="00F63CA4">
        <w:t xml:space="preserve"> seeks to promote a sense of European and global citizenship in its students by fostering an international culture across the academic community and by incorporating into its degree programmes elements that will help students understand the global context of their studies and enable them to operate effectively in international professional environments. </w:t>
      </w:r>
      <w:r w:rsidR="00571512">
        <w:t>W</w:t>
      </w:r>
      <w:r w:rsidR="00A63DA9" w:rsidRPr="009E3A01">
        <w:t xml:space="preserve">e also ensure that a broader cross-section of our student population can benefit from relevant academic </w:t>
      </w:r>
      <w:r w:rsidR="00F41874" w:rsidRPr="009E3A01">
        <w:t>opportunities</w:t>
      </w:r>
      <w:r w:rsidR="00A63DA9" w:rsidRPr="009E3A01">
        <w:t xml:space="preserve"> abroad</w:t>
      </w:r>
      <w:r w:rsidR="00571512">
        <w:t xml:space="preserve"> and work placements</w:t>
      </w:r>
      <w:r w:rsidR="00A63DA9" w:rsidRPr="009E3A01">
        <w:t xml:space="preserve"> and this is facilitated by</w:t>
      </w:r>
      <w:r w:rsidR="001826FD" w:rsidRPr="009E3A01">
        <w:t xml:space="preserve"> an increasing number of</w:t>
      </w:r>
      <w:r w:rsidR="00A63DA9" w:rsidRPr="009E3A01">
        <w:t xml:space="preserve"> study abroad</w:t>
      </w:r>
      <w:r w:rsidR="001826FD" w:rsidRPr="009E3A01">
        <w:t xml:space="preserve"> options</w:t>
      </w:r>
      <w:r w:rsidR="00A63DA9" w:rsidRPr="009E3A01">
        <w:t xml:space="preserve"> o</w:t>
      </w:r>
      <w:r w:rsidR="001826FD" w:rsidRPr="009E3A01">
        <w:t>n</w:t>
      </w:r>
      <w:r w:rsidR="00A63DA9" w:rsidRPr="009E3A01">
        <w:t xml:space="preserve"> many programmes of study</w:t>
      </w:r>
      <w:r w:rsidR="00A63DA9">
        <w:t>. Teaching visits complement existing student exchange or research cooperation and are strongly encouraged; moreover, inbound teaching mobility provides international exposure to non-mobile students. Nor is the relevance of staff training abroad to be overlooked: staff of all categories, and their departments, gain valuable skills, new perspectives and useful contacts during such visits, and we see this as a significant element of staff professional development.</w:t>
      </w:r>
    </w:p>
    <w:p w14:paraId="51EA1C5B" w14:textId="77777777" w:rsidR="004C114E" w:rsidRDefault="004C114E">
      <w:pPr>
        <w:pStyle w:val="BodyText"/>
        <w:spacing w:before="8"/>
        <w:rPr>
          <w:sz w:val="19"/>
        </w:rPr>
      </w:pPr>
    </w:p>
    <w:p w14:paraId="33B9CB72" w14:textId="2E77EDEC" w:rsidR="004857DC" w:rsidRDefault="00A63DA9" w:rsidP="005C75F6">
      <w:pPr>
        <w:pStyle w:val="BodyText"/>
        <w:spacing w:before="120"/>
        <w:ind w:right="113"/>
        <w:jc w:val="both"/>
      </w:pPr>
      <w:r>
        <w:t>Participation in the Erasmus</w:t>
      </w:r>
      <w:r w:rsidR="00510D72">
        <w:t>+</w:t>
      </w:r>
      <w:r>
        <w:t xml:space="preserve"> Programme will continue to play a significant role in </w:t>
      </w:r>
      <w:r w:rsidR="00571512">
        <w:t>LYIT</w:t>
      </w:r>
      <w:r>
        <w:t>’s objective of producing high-</w:t>
      </w:r>
      <w:r w:rsidR="00510D72">
        <w:t>caliber</w:t>
      </w:r>
      <w:r>
        <w:t xml:space="preserve"> graduates with the knowledge, skills and international experience that are so important for their future. We recognise that mobility, whether to HEIs or enterprises abroad, adds substantially to the value of our academic offerings and helps increase attainment levels. It reinforces students’ engagement with their chosen discipline, fosters a broadening of academic perspectives and brings heightened cultural awareness and improved linguistic competence, all of which we deem to be of immense significance in equipping our graduates and researchers for future employment. </w:t>
      </w:r>
    </w:p>
    <w:p w14:paraId="1FD72BD4" w14:textId="77777777" w:rsidR="004857DC" w:rsidRDefault="004857DC" w:rsidP="005C75F6">
      <w:pPr>
        <w:pStyle w:val="BodyText"/>
        <w:spacing w:before="120"/>
        <w:ind w:right="113"/>
        <w:jc w:val="both"/>
      </w:pPr>
    </w:p>
    <w:p w14:paraId="51EA1C64" w14:textId="79BE97EC" w:rsidR="004C114E" w:rsidRDefault="00A63DA9" w:rsidP="005C75F6">
      <w:pPr>
        <w:pStyle w:val="BodyText"/>
        <w:spacing w:before="120"/>
        <w:ind w:right="113"/>
        <w:jc w:val="both"/>
      </w:pPr>
      <w:r>
        <w:t>By widening the participation base by providing additional</w:t>
      </w:r>
      <w:r w:rsidR="00A15B86">
        <w:t xml:space="preserve"> financial</w:t>
      </w:r>
      <w:r>
        <w:t xml:space="preserve"> support to disadvantaged groups, we will help extend these advantages to underrepresented cohorts and non-traditional learners, thus unlocking the potential of wider sections of our population. Staff, too, will derive benefits from mobility that will consolidate their professional competencies and so bring added value to the student experience in the longer term. The contribution of visiting staff and students will also enrich the learning environment and promote cultural diversity. Thus it can be seen that by strategically embedding internationalisation into the curriculum, we are improving the quality and relevance of our programmes, helping to produce informed citizens of Europe and offering clear practical benefits in tune with emerging labour</w:t>
      </w:r>
      <w:r>
        <w:rPr>
          <w:spacing w:val="-19"/>
        </w:rPr>
        <w:t xml:space="preserve"> </w:t>
      </w:r>
      <w:r>
        <w:t>markets.</w:t>
      </w:r>
    </w:p>
    <w:p w14:paraId="51EA1C65" w14:textId="77777777" w:rsidR="004C114E" w:rsidRDefault="004C114E">
      <w:pPr>
        <w:pStyle w:val="BodyText"/>
        <w:spacing w:before="7"/>
        <w:rPr>
          <w:sz w:val="19"/>
        </w:rPr>
      </w:pPr>
    </w:p>
    <w:p w14:paraId="392B3482" w14:textId="37500F1C" w:rsidR="00F92CE3" w:rsidRDefault="00A63DA9" w:rsidP="004B44A6">
      <w:pPr>
        <w:pStyle w:val="BodyText"/>
        <w:ind w:right="116"/>
        <w:jc w:val="both"/>
      </w:pPr>
      <w:r>
        <w:t>We intend to expand our already strong range of linkages</w:t>
      </w:r>
      <w:r w:rsidR="004B44A6">
        <w:t xml:space="preserve"> under </w:t>
      </w:r>
      <w:r>
        <w:t>Erasmus</w:t>
      </w:r>
      <w:r w:rsidR="00061BCC">
        <w:t>+</w:t>
      </w:r>
      <w:r>
        <w:t xml:space="preserve"> </w:t>
      </w:r>
      <w:r w:rsidR="004B44A6">
        <w:t xml:space="preserve">and will continue to </w:t>
      </w:r>
      <w:r>
        <w:t xml:space="preserve"> deepen and enhance this, helping to promote innovation and entrepreneurship and ultimately drive economic growth</w:t>
      </w:r>
      <w:r w:rsidR="00061BCC">
        <w:t xml:space="preserve"> in the region we serve</w:t>
      </w:r>
      <w:r>
        <w:t>.</w:t>
      </w:r>
      <w:r w:rsidR="004B44A6">
        <w:t xml:space="preserve"> </w:t>
      </w:r>
      <w:r>
        <w:t xml:space="preserve">Mobility and international cooperation are critical to quality in higher education and therefore participation in the Programme will boost the </w:t>
      </w:r>
      <w:r w:rsidR="00D43EE7">
        <w:t>Institute</w:t>
      </w:r>
      <w:r>
        <w:t>’s profile and its attractiveness within and outside of Europe</w:t>
      </w:r>
      <w:r w:rsidR="004B44A6">
        <w:t>.</w:t>
      </w:r>
    </w:p>
    <w:p w14:paraId="704C92FB" w14:textId="44AF87FE" w:rsidR="0001648A" w:rsidRDefault="0001648A" w:rsidP="005C75F6">
      <w:pPr>
        <w:pStyle w:val="BodyText"/>
        <w:spacing w:before="1"/>
        <w:ind w:right="115"/>
        <w:jc w:val="both"/>
      </w:pPr>
    </w:p>
    <w:p w14:paraId="0DC636E7" w14:textId="77777777" w:rsidR="0001648A" w:rsidRDefault="0001648A" w:rsidP="005C75F6">
      <w:pPr>
        <w:pStyle w:val="BodyText"/>
        <w:spacing w:before="1"/>
        <w:ind w:right="115"/>
        <w:jc w:val="both"/>
      </w:pPr>
    </w:p>
    <w:sectPr w:rsidR="0001648A" w:rsidSect="004B44A6">
      <w:headerReference w:type="default" r:id="rId11"/>
      <w:headerReference w:type="first" r:id="rId1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ABC6C" w14:textId="77777777" w:rsidR="00A66F03" w:rsidRDefault="00A66F03" w:rsidP="004B44A6">
      <w:r>
        <w:separator/>
      </w:r>
    </w:p>
  </w:endnote>
  <w:endnote w:type="continuationSeparator" w:id="0">
    <w:p w14:paraId="172EFE88" w14:textId="77777777" w:rsidR="00A66F03" w:rsidRDefault="00A66F03" w:rsidP="004B4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3AEC5" w14:textId="77777777" w:rsidR="00A66F03" w:rsidRDefault="00A66F03" w:rsidP="004B44A6">
      <w:r>
        <w:separator/>
      </w:r>
    </w:p>
  </w:footnote>
  <w:footnote w:type="continuationSeparator" w:id="0">
    <w:p w14:paraId="0E2877CA" w14:textId="77777777" w:rsidR="00A66F03" w:rsidRDefault="00A66F03" w:rsidP="004B4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C9029" w14:textId="2BCB4476" w:rsidR="004B44A6" w:rsidRDefault="004B44A6">
    <w:pPr>
      <w:pStyle w:val="Header"/>
    </w:pPr>
  </w:p>
  <w:p w14:paraId="0728708C" w14:textId="3F0ACFA4" w:rsidR="004B44A6" w:rsidRDefault="004B44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77A5D" w14:textId="4EA9B329" w:rsidR="004B44A6" w:rsidRDefault="004B44A6">
    <w:pPr>
      <w:pStyle w:val="Header"/>
    </w:pPr>
    <w:r>
      <w:rPr>
        <w:noProof/>
      </w:rPr>
      <w:drawing>
        <wp:inline distT="0" distB="0" distL="0" distR="0" wp14:anchorId="750CA880" wp14:editId="477E2DA3">
          <wp:extent cx="5705475"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960F1"/>
    <w:multiLevelType w:val="hybridMultilevel"/>
    <w:tmpl w:val="9DE85D82"/>
    <w:lvl w:ilvl="0" w:tplc="A752A8FC">
      <w:numFmt w:val="bullet"/>
      <w:lvlText w:val=""/>
      <w:lvlJc w:val="left"/>
      <w:pPr>
        <w:ind w:left="820" w:hanging="360"/>
      </w:pPr>
      <w:rPr>
        <w:rFonts w:ascii="Symbol" w:eastAsia="Symbol" w:hAnsi="Symbol" w:cs="Symbol" w:hint="default"/>
        <w:w w:val="102"/>
        <w:sz w:val="21"/>
        <w:szCs w:val="21"/>
      </w:rPr>
    </w:lvl>
    <w:lvl w:ilvl="1" w:tplc="4FD6542E">
      <w:numFmt w:val="bullet"/>
      <w:lvlText w:val="•"/>
      <w:lvlJc w:val="left"/>
      <w:pPr>
        <w:ind w:left="1660" w:hanging="360"/>
      </w:pPr>
      <w:rPr>
        <w:rFonts w:hint="default"/>
      </w:rPr>
    </w:lvl>
    <w:lvl w:ilvl="2" w:tplc="DF681DC4">
      <w:numFmt w:val="bullet"/>
      <w:lvlText w:val="•"/>
      <w:lvlJc w:val="left"/>
      <w:pPr>
        <w:ind w:left="2500" w:hanging="360"/>
      </w:pPr>
      <w:rPr>
        <w:rFonts w:hint="default"/>
      </w:rPr>
    </w:lvl>
    <w:lvl w:ilvl="3" w:tplc="6F8CC038">
      <w:numFmt w:val="bullet"/>
      <w:lvlText w:val="•"/>
      <w:lvlJc w:val="left"/>
      <w:pPr>
        <w:ind w:left="3340" w:hanging="360"/>
      </w:pPr>
      <w:rPr>
        <w:rFonts w:hint="default"/>
      </w:rPr>
    </w:lvl>
    <w:lvl w:ilvl="4" w:tplc="B148A7F8">
      <w:numFmt w:val="bullet"/>
      <w:lvlText w:val="•"/>
      <w:lvlJc w:val="left"/>
      <w:pPr>
        <w:ind w:left="4180" w:hanging="360"/>
      </w:pPr>
      <w:rPr>
        <w:rFonts w:hint="default"/>
      </w:rPr>
    </w:lvl>
    <w:lvl w:ilvl="5" w:tplc="7564DEF2">
      <w:numFmt w:val="bullet"/>
      <w:lvlText w:val="•"/>
      <w:lvlJc w:val="left"/>
      <w:pPr>
        <w:ind w:left="5020" w:hanging="360"/>
      </w:pPr>
      <w:rPr>
        <w:rFonts w:hint="default"/>
      </w:rPr>
    </w:lvl>
    <w:lvl w:ilvl="6" w:tplc="7A8022A6">
      <w:numFmt w:val="bullet"/>
      <w:lvlText w:val="•"/>
      <w:lvlJc w:val="left"/>
      <w:pPr>
        <w:ind w:left="5860" w:hanging="360"/>
      </w:pPr>
      <w:rPr>
        <w:rFonts w:hint="default"/>
      </w:rPr>
    </w:lvl>
    <w:lvl w:ilvl="7" w:tplc="934A2BE2">
      <w:numFmt w:val="bullet"/>
      <w:lvlText w:val="•"/>
      <w:lvlJc w:val="left"/>
      <w:pPr>
        <w:ind w:left="6700" w:hanging="360"/>
      </w:pPr>
      <w:rPr>
        <w:rFonts w:hint="default"/>
      </w:rPr>
    </w:lvl>
    <w:lvl w:ilvl="8" w:tplc="C432522A">
      <w:numFmt w:val="bullet"/>
      <w:lvlText w:val="•"/>
      <w:lvlJc w:val="left"/>
      <w:pPr>
        <w:ind w:left="7540" w:hanging="360"/>
      </w:pPr>
      <w:rPr>
        <w:rFonts w:hint="default"/>
      </w:rPr>
    </w:lvl>
  </w:abstractNum>
  <w:abstractNum w:abstractNumId="1" w15:restartNumberingAfterBreak="0">
    <w:nsid w:val="1AB3769E"/>
    <w:multiLevelType w:val="hybridMultilevel"/>
    <w:tmpl w:val="AA0E72F0"/>
    <w:lvl w:ilvl="0" w:tplc="18090001">
      <w:start w:val="1"/>
      <w:numFmt w:val="bullet"/>
      <w:lvlText w:val=""/>
      <w:lvlJc w:val="left"/>
      <w:pPr>
        <w:ind w:left="840" w:hanging="360"/>
      </w:pPr>
      <w:rPr>
        <w:rFonts w:ascii="Symbol" w:hAnsi="Symbol" w:hint="default"/>
      </w:rPr>
    </w:lvl>
    <w:lvl w:ilvl="1" w:tplc="18090003" w:tentative="1">
      <w:start w:val="1"/>
      <w:numFmt w:val="bullet"/>
      <w:lvlText w:val="o"/>
      <w:lvlJc w:val="left"/>
      <w:pPr>
        <w:ind w:left="1560" w:hanging="360"/>
      </w:pPr>
      <w:rPr>
        <w:rFonts w:ascii="Courier New" w:hAnsi="Courier New" w:cs="Courier New" w:hint="default"/>
      </w:rPr>
    </w:lvl>
    <w:lvl w:ilvl="2" w:tplc="18090005" w:tentative="1">
      <w:start w:val="1"/>
      <w:numFmt w:val="bullet"/>
      <w:lvlText w:val=""/>
      <w:lvlJc w:val="left"/>
      <w:pPr>
        <w:ind w:left="2280" w:hanging="360"/>
      </w:pPr>
      <w:rPr>
        <w:rFonts w:ascii="Wingdings" w:hAnsi="Wingdings" w:hint="default"/>
      </w:rPr>
    </w:lvl>
    <w:lvl w:ilvl="3" w:tplc="18090001" w:tentative="1">
      <w:start w:val="1"/>
      <w:numFmt w:val="bullet"/>
      <w:lvlText w:val=""/>
      <w:lvlJc w:val="left"/>
      <w:pPr>
        <w:ind w:left="3000" w:hanging="360"/>
      </w:pPr>
      <w:rPr>
        <w:rFonts w:ascii="Symbol" w:hAnsi="Symbol" w:hint="default"/>
      </w:rPr>
    </w:lvl>
    <w:lvl w:ilvl="4" w:tplc="18090003" w:tentative="1">
      <w:start w:val="1"/>
      <w:numFmt w:val="bullet"/>
      <w:lvlText w:val="o"/>
      <w:lvlJc w:val="left"/>
      <w:pPr>
        <w:ind w:left="3720" w:hanging="360"/>
      </w:pPr>
      <w:rPr>
        <w:rFonts w:ascii="Courier New" w:hAnsi="Courier New" w:cs="Courier New" w:hint="default"/>
      </w:rPr>
    </w:lvl>
    <w:lvl w:ilvl="5" w:tplc="18090005" w:tentative="1">
      <w:start w:val="1"/>
      <w:numFmt w:val="bullet"/>
      <w:lvlText w:val=""/>
      <w:lvlJc w:val="left"/>
      <w:pPr>
        <w:ind w:left="4440" w:hanging="360"/>
      </w:pPr>
      <w:rPr>
        <w:rFonts w:ascii="Wingdings" w:hAnsi="Wingdings" w:hint="default"/>
      </w:rPr>
    </w:lvl>
    <w:lvl w:ilvl="6" w:tplc="18090001" w:tentative="1">
      <w:start w:val="1"/>
      <w:numFmt w:val="bullet"/>
      <w:lvlText w:val=""/>
      <w:lvlJc w:val="left"/>
      <w:pPr>
        <w:ind w:left="5160" w:hanging="360"/>
      </w:pPr>
      <w:rPr>
        <w:rFonts w:ascii="Symbol" w:hAnsi="Symbol" w:hint="default"/>
      </w:rPr>
    </w:lvl>
    <w:lvl w:ilvl="7" w:tplc="18090003" w:tentative="1">
      <w:start w:val="1"/>
      <w:numFmt w:val="bullet"/>
      <w:lvlText w:val="o"/>
      <w:lvlJc w:val="left"/>
      <w:pPr>
        <w:ind w:left="5880" w:hanging="360"/>
      </w:pPr>
      <w:rPr>
        <w:rFonts w:ascii="Courier New" w:hAnsi="Courier New" w:cs="Courier New" w:hint="default"/>
      </w:rPr>
    </w:lvl>
    <w:lvl w:ilvl="8" w:tplc="18090005" w:tentative="1">
      <w:start w:val="1"/>
      <w:numFmt w:val="bullet"/>
      <w:lvlText w:val=""/>
      <w:lvlJc w:val="left"/>
      <w:pPr>
        <w:ind w:left="6600" w:hanging="360"/>
      </w:pPr>
      <w:rPr>
        <w:rFonts w:ascii="Wingdings" w:hAnsi="Wingdings" w:hint="default"/>
      </w:rPr>
    </w:lvl>
  </w:abstractNum>
  <w:abstractNum w:abstractNumId="2" w15:restartNumberingAfterBreak="0">
    <w:nsid w:val="1B9E39EA"/>
    <w:multiLevelType w:val="hybridMultilevel"/>
    <w:tmpl w:val="169A69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3E756D4"/>
    <w:multiLevelType w:val="hybridMultilevel"/>
    <w:tmpl w:val="B3566F7C"/>
    <w:lvl w:ilvl="0" w:tplc="18090001">
      <w:start w:val="1"/>
      <w:numFmt w:val="bullet"/>
      <w:lvlText w:val=""/>
      <w:lvlJc w:val="left"/>
      <w:pPr>
        <w:ind w:left="839" w:hanging="360"/>
      </w:pPr>
      <w:rPr>
        <w:rFonts w:ascii="Symbol" w:hAnsi="Symbol" w:hint="default"/>
      </w:rPr>
    </w:lvl>
    <w:lvl w:ilvl="1" w:tplc="18090003" w:tentative="1">
      <w:start w:val="1"/>
      <w:numFmt w:val="bullet"/>
      <w:lvlText w:val="o"/>
      <w:lvlJc w:val="left"/>
      <w:pPr>
        <w:ind w:left="1559" w:hanging="360"/>
      </w:pPr>
      <w:rPr>
        <w:rFonts w:ascii="Courier New" w:hAnsi="Courier New" w:cs="Courier New" w:hint="default"/>
      </w:rPr>
    </w:lvl>
    <w:lvl w:ilvl="2" w:tplc="18090005" w:tentative="1">
      <w:start w:val="1"/>
      <w:numFmt w:val="bullet"/>
      <w:lvlText w:val=""/>
      <w:lvlJc w:val="left"/>
      <w:pPr>
        <w:ind w:left="2279" w:hanging="360"/>
      </w:pPr>
      <w:rPr>
        <w:rFonts w:ascii="Wingdings" w:hAnsi="Wingdings" w:hint="default"/>
      </w:rPr>
    </w:lvl>
    <w:lvl w:ilvl="3" w:tplc="18090001" w:tentative="1">
      <w:start w:val="1"/>
      <w:numFmt w:val="bullet"/>
      <w:lvlText w:val=""/>
      <w:lvlJc w:val="left"/>
      <w:pPr>
        <w:ind w:left="2999" w:hanging="360"/>
      </w:pPr>
      <w:rPr>
        <w:rFonts w:ascii="Symbol" w:hAnsi="Symbol" w:hint="default"/>
      </w:rPr>
    </w:lvl>
    <w:lvl w:ilvl="4" w:tplc="18090003" w:tentative="1">
      <w:start w:val="1"/>
      <w:numFmt w:val="bullet"/>
      <w:lvlText w:val="o"/>
      <w:lvlJc w:val="left"/>
      <w:pPr>
        <w:ind w:left="3719" w:hanging="360"/>
      </w:pPr>
      <w:rPr>
        <w:rFonts w:ascii="Courier New" w:hAnsi="Courier New" w:cs="Courier New" w:hint="default"/>
      </w:rPr>
    </w:lvl>
    <w:lvl w:ilvl="5" w:tplc="18090005" w:tentative="1">
      <w:start w:val="1"/>
      <w:numFmt w:val="bullet"/>
      <w:lvlText w:val=""/>
      <w:lvlJc w:val="left"/>
      <w:pPr>
        <w:ind w:left="4439" w:hanging="360"/>
      </w:pPr>
      <w:rPr>
        <w:rFonts w:ascii="Wingdings" w:hAnsi="Wingdings" w:hint="default"/>
      </w:rPr>
    </w:lvl>
    <w:lvl w:ilvl="6" w:tplc="18090001" w:tentative="1">
      <w:start w:val="1"/>
      <w:numFmt w:val="bullet"/>
      <w:lvlText w:val=""/>
      <w:lvlJc w:val="left"/>
      <w:pPr>
        <w:ind w:left="5159" w:hanging="360"/>
      </w:pPr>
      <w:rPr>
        <w:rFonts w:ascii="Symbol" w:hAnsi="Symbol" w:hint="default"/>
      </w:rPr>
    </w:lvl>
    <w:lvl w:ilvl="7" w:tplc="18090003" w:tentative="1">
      <w:start w:val="1"/>
      <w:numFmt w:val="bullet"/>
      <w:lvlText w:val="o"/>
      <w:lvlJc w:val="left"/>
      <w:pPr>
        <w:ind w:left="5879" w:hanging="360"/>
      </w:pPr>
      <w:rPr>
        <w:rFonts w:ascii="Courier New" w:hAnsi="Courier New" w:cs="Courier New" w:hint="default"/>
      </w:rPr>
    </w:lvl>
    <w:lvl w:ilvl="8" w:tplc="18090005" w:tentative="1">
      <w:start w:val="1"/>
      <w:numFmt w:val="bullet"/>
      <w:lvlText w:val=""/>
      <w:lvlJc w:val="left"/>
      <w:pPr>
        <w:ind w:left="6599" w:hanging="360"/>
      </w:pPr>
      <w:rPr>
        <w:rFonts w:ascii="Wingdings" w:hAnsi="Wingdings" w:hint="default"/>
      </w:rPr>
    </w:lvl>
  </w:abstractNum>
  <w:abstractNum w:abstractNumId="4" w15:restartNumberingAfterBreak="0">
    <w:nsid w:val="5A233F62"/>
    <w:multiLevelType w:val="hybridMultilevel"/>
    <w:tmpl w:val="C41868BA"/>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15:restartNumberingAfterBreak="0">
    <w:nsid w:val="5CCE26A8"/>
    <w:multiLevelType w:val="hybridMultilevel"/>
    <w:tmpl w:val="76F2A1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25C7F16"/>
    <w:multiLevelType w:val="hybridMultilevel"/>
    <w:tmpl w:val="6BFC19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14E"/>
    <w:rsid w:val="00007B0C"/>
    <w:rsid w:val="0001648A"/>
    <w:rsid w:val="00036E92"/>
    <w:rsid w:val="000448C2"/>
    <w:rsid w:val="000575E6"/>
    <w:rsid w:val="00060C80"/>
    <w:rsid w:val="000618D6"/>
    <w:rsid w:val="00061B7A"/>
    <w:rsid w:val="00061BCC"/>
    <w:rsid w:val="00061E0D"/>
    <w:rsid w:val="00064C3D"/>
    <w:rsid w:val="00074D40"/>
    <w:rsid w:val="00076160"/>
    <w:rsid w:val="000914FC"/>
    <w:rsid w:val="00094A0A"/>
    <w:rsid w:val="000A130D"/>
    <w:rsid w:val="000B4359"/>
    <w:rsid w:val="000C25BB"/>
    <w:rsid w:val="000D3104"/>
    <w:rsid w:val="000E0E03"/>
    <w:rsid w:val="000E2CEA"/>
    <w:rsid w:val="001041C6"/>
    <w:rsid w:val="001062E8"/>
    <w:rsid w:val="00125F61"/>
    <w:rsid w:val="00133848"/>
    <w:rsid w:val="001447F1"/>
    <w:rsid w:val="001465D0"/>
    <w:rsid w:val="00167127"/>
    <w:rsid w:val="0017213E"/>
    <w:rsid w:val="00180CB5"/>
    <w:rsid w:val="001826FD"/>
    <w:rsid w:val="001903F3"/>
    <w:rsid w:val="00192D9F"/>
    <w:rsid w:val="00193A17"/>
    <w:rsid w:val="001956FF"/>
    <w:rsid w:val="001A34A4"/>
    <w:rsid w:val="001A45FF"/>
    <w:rsid w:val="001B626D"/>
    <w:rsid w:val="001D43BB"/>
    <w:rsid w:val="001E67ED"/>
    <w:rsid w:val="002023B2"/>
    <w:rsid w:val="00206F7D"/>
    <w:rsid w:val="0021028A"/>
    <w:rsid w:val="00215779"/>
    <w:rsid w:val="00217610"/>
    <w:rsid w:val="00217F8A"/>
    <w:rsid w:val="0022712B"/>
    <w:rsid w:val="002342CF"/>
    <w:rsid w:val="002369DB"/>
    <w:rsid w:val="00254EA4"/>
    <w:rsid w:val="00260812"/>
    <w:rsid w:val="0026688C"/>
    <w:rsid w:val="00271DDD"/>
    <w:rsid w:val="00275D08"/>
    <w:rsid w:val="00284D3A"/>
    <w:rsid w:val="002856FB"/>
    <w:rsid w:val="00285C5B"/>
    <w:rsid w:val="00286D81"/>
    <w:rsid w:val="0028735D"/>
    <w:rsid w:val="0028740E"/>
    <w:rsid w:val="0029177E"/>
    <w:rsid w:val="00294466"/>
    <w:rsid w:val="00297F13"/>
    <w:rsid w:val="002B1E6E"/>
    <w:rsid w:val="002B2489"/>
    <w:rsid w:val="002C0F72"/>
    <w:rsid w:val="002C368A"/>
    <w:rsid w:val="002D14A3"/>
    <w:rsid w:val="002E3AE6"/>
    <w:rsid w:val="002E4698"/>
    <w:rsid w:val="002E5B44"/>
    <w:rsid w:val="00302AE3"/>
    <w:rsid w:val="0030362C"/>
    <w:rsid w:val="00312454"/>
    <w:rsid w:val="00317AA2"/>
    <w:rsid w:val="00326AAE"/>
    <w:rsid w:val="00330ACE"/>
    <w:rsid w:val="00335458"/>
    <w:rsid w:val="003359E7"/>
    <w:rsid w:val="00351D63"/>
    <w:rsid w:val="0037113B"/>
    <w:rsid w:val="003723E9"/>
    <w:rsid w:val="00372E5B"/>
    <w:rsid w:val="00392831"/>
    <w:rsid w:val="0039654C"/>
    <w:rsid w:val="003A6407"/>
    <w:rsid w:val="003B5200"/>
    <w:rsid w:val="003C2411"/>
    <w:rsid w:val="003D387F"/>
    <w:rsid w:val="003D47F9"/>
    <w:rsid w:val="003E5C59"/>
    <w:rsid w:val="003F5544"/>
    <w:rsid w:val="00403048"/>
    <w:rsid w:val="00405D96"/>
    <w:rsid w:val="004066DD"/>
    <w:rsid w:val="00412172"/>
    <w:rsid w:val="0042648A"/>
    <w:rsid w:val="0043301D"/>
    <w:rsid w:val="00462F2A"/>
    <w:rsid w:val="00466E5D"/>
    <w:rsid w:val="0047399E"/>
    <w:rsid w:val="00474460"/>
    <w:rsid w:val="004760B7"/>
    <w:rsid w:val="00476856"/>
    <w:rsid w:val="004857DC"/>
    <w:rsid w:val="00491838"/>
    <w:rsid w:val="004B44A6"/>
    <w:rsid w:val="004B7F36"/>
    <w:rsid w:val="004C114E"/>
    <w:rsid w:val="004C1A64"/>
    <w:rsid w:val="004C6C63"/>
    <w:rsid w:val="004D1829"/>
    <w:rsid w:val="004F6BC9"/>
    <w:rsid w:val="00506A97"/>
    <w:rsid w:val="00510D72"/>
    <w:rsid w:val="0051382C"/>
    <w:rsid w:val="00521C2D"/>
    <w:rsid w:val="005225BF"/>
    <w:rsid w:val="005257CC"/>
    <w:rsid w:val="00543082"/>
    <w:rsid w:val="00544BCC"/>
    <w:rsid w:val="00545B5A"/>
    <w:rsid w:val="005673BE"/>
    <w:rsid w:val="00571512"/>
    <w:rsid w:val="005B1A36"/>
    <w:rsid w:val="005C75F6"/>
    <w:rsid w:val="005C7696"/>
    <w:rsid w:val="005D349C"/>
    <w:rsid w:val="005E5864"/>
    <w:rsid w:val="00613170"/>
    <w:rsid w:val="006208E5"/>
    <w:rsid w:val="006407C9"/>
    <w:rsid w:val="00651609"/>
    <w:rsid w:val="00651CF0"/>
    <w:rsid w:val="0065368E"/>
    <w:rsid w:val="00653EFE"/>
    <w:rsid w:val="0066723E"/>
    <w:rsid w:val="006779BE"/>
    <w:rsid w:val="00681998"/>
    <w:rsid w:val="00690A51"/>
    <w:rsid w:val="00691346"/>
    <w:rsid w:val="006A046A"/>
    <w:rsid w:val="006A0A08"/>
    <w:rsid w:val="006A3F89"/>
    <w:rsid w:val="006D3E57"/>
    <w:rsid w:val="006E5E2C"/>
    <w:rsid w:val="006F1AFC"/>
    <w:rsid w:val="006F2828"/>
    <w:rsid w:val="006F2CE5"/>
    <w:rsid w:val="00720D41"/>
    <w:rsid w:val="00753607"/>
    <w:rsid w:val="007613C8"/>
    <w:rsid w:val="0076520D"/>
    <w:rsid w:val="00772131"/>
    <w:rsid w:val="007825A4"/>
    <w:rsid w:val="007864EA"/>
    <w:rsid w:val="007914E6"/>
    <w:rsid w:val="007949B6"/>
    <w:rsid w:val="007B4CBA"/>
    <w:rsid w:val="007C3C00"/>
    <w:rsid w:val="007D0585"/>
    <w:rsid w:val="007D48EF"/>
    <w:rsid w:val="007E0178"/>
    <w:rsid w:val="007F3448"/>
    <w:rsid w:val="00800A0F"/>
    <w:rsid w:val="00804087"/>
    <w:rsid w:val="00811F31"/>
    <w:rsid w:val="00812AE2"/>
    <w:rsid w:val="00822429"/>
    <w:rsid w:val="00823157"/>
    <w:rsid w:val="00826876"/>
    <w:rsid w:val="00832257"/>
    <w:rsid w:val="00835740"/>
    <w:rsid w:val="00846508"/>
    <w:rsid w:val="00847D98"/>
    <w:rsid w:val="00871B20"/>
    <w:rsid w:val="00876083"/>
    <w:rsid w:val="008760D3"/>
    <w:rsid w:val="0088178F"/>
    <w:rsid w:val="00883C89"/>
    <w:rsid w:val="008B6625"/>
    <w:rsid w:val="008E73BA"/>
    <w:rsid w:val="008F50B6"/>
    <w:rsid w:val="008F6F13"/>
    <w:rsid w:val="009110EA"/>
    <w:rsid w:val="00911ADF"/>
    <w:rsid w:val="0091646D"/>
    <w:rsid w:val="00916EC9"/>
    <w:rsid w:val="00920529"/>
    <w:rsid w:val="00934F76"/>
    <w:rsid w:val="00934F8F"/>
    <w:rsid w:val="00945631"/>
    <w:rsid w:val="009477EF"/>
    <w:rsid w:val="00954D75"/>
    <w:rsid w:val="00956FA8"/>
    <w:rsid w:val="009649F6"/>
    <w:rsid w:val="00981082"/>
    <w:rsid w:val="00993DB4"/>
    <w:rsid w:val="00994C5C"/>
    <w:rsid w:val="009C366B"/>
    <w:rsid w:val="009D5975"/>
    <w:rsid w:val="009E3A01"/>
    <w:rsid w:val="009E74F5"/>
    <w:rsid w:val="009F39BF"/>
    <w:rsid w:val="009F6E3A"/>
    <w:rsid w:val="00A03E5C"/>
    <w:rsid w:val="00A045B4"/>
    <w:rsid w:val="00A11A9A"/>
    <w:rsid w:val="00A15B86"/>
    <w:rsid w:val="00A262E1"/>
    <w:rsid w:val="00A26B69"/>
    <w:rsid w:val="00A328E1"/>
    <w:rsid w:val="00A54C7B"/>
    <w:rsid w:val="00A63DA9"/>
    <w:rsid w:val="00A663F7"/>
    <w:rsid w:val="00A66F03"/>
    <w:rsid w:val="00A826DD"/>
    <w:rsid w:val="00A95C7F"/>
    <w:rsid w:val="00AA3521"/>
    <w:rsid w:val="00AA37B8"/>
    <w:rsid w:val="00AA3CD5"/>
    <w:rsid w:val="00AA4B1B"/>
    <w:rsid w:val="00AA51DC"/>
    <w:rsid w:val="00AA7944"/>
    <w:rsid w:val="00AB4D3B"/>
    <w:rsid w:val="00AD789E"/>
    <w:rsid w:val="00AE3CD2"/>
    <w:rsid w:val="00AE5814"/>
    <w:rsid w:val="00AE6F46"/>
    <w:rsid w:val="00AF3304"/>
    <w:rsid w:val="00AF3950"/>
    <w:rsid w:val="00AF6DC6"/>
    <w:rsid w:val="00B06B9C"/>
    <w:rsid w:val="00B52F6B"/>
    <w:rsid w:val="00B624B9"/>
    <w:rsid w:val="00B62887"/>
    <w:rsid w:val="00B7011F"/>
    <w:rsid w:val="00B9073E"/>
    <w:rsid w:val="00B93688"/>
    <w:rsid w:val="00B951BA"/>
    <w:rsid w:val="00B969F7"/>
    <w:rsid w:val="00BA0120"/>
    <w:rsid w:val="00BA06F4"/>
    <w:rsid w:val="00BC7F0E"/>
    <w:rsid w:val="00BD0B21"/>
    <w:rsid w:val="00BE5830"/>
    <w:rsid w:val="00BF0DA5"/>
    <w:rsid w:val="00BF2198"/>
    <w:rsid w:val="00C037A1"/>
    <w:rsid w:val="00C12546"/>
    <w:rsid w:val="00C12786"/>
    <w:rsid w:val="00C16B84"/>
    <w:rsid w:val="00C17C53"/>
    <w:rsid w:val="00C22AF9"/>
    <w:rsid w:val="00C43A0F"/>
    <w:rsid w:val="00C440B0"/>
    <w:rsid w:val="00C5226B"/>
    <w:rsid w:val="00C52F41"/>
    <w:rsid w:val="00C535AC"/>
    <w:rsid w:val="00C57236"/>
    <w:rsid w:val="00C72947"/>
    <w:rsid w:val="00C73C1A"/>
    <w:rsid w:val="00C85E2C"/>
    <w:rsid w:val="00C86836"/>
    <w:rsid w:val="00C86B56"/>
    <w:rsid w:val="00C957E8"/>
    <w:rsid w:val="00C96305"/>
    <w:rsid w:val="00CA454C"/>
    <w:rsid w:val="00CA5D1E"/>
    <w:rsid w:val="00CA5D77"/>
    <w:rsid w:val="00CB603B"/>
    <w:rsid w:val="00CC32E5"/>
    <w:rsid w:val="00CC752A"/>
    <w:rsid w:val="00CD0CB2"/>
    <w:rsid w:val="00CD7DF8"/>
    <w:rsid w:val="00CF02EC"/>
    <w:rsid w:val="00CF19B4"/>
    <w:rsid w:val="00D111DB"/>
    <w:rsid w:val="00D1679D"/>
    <w:rsid w:val="00D17A54"/>
    <w:rsid w:val="00D43EE7"/>
    <w:rsid w:val="00D56DCF"/>
    <w:rsid w:val="00D73C2A"/>
    <w:rsid w:val="00D908EA"/>
    <w:rsid w:val="00D91111"/>
    <w:rsid w:val="00D91124"/>
    <w:rsid w:val="00DC582B"/>
    <w:rsid w:val="00DC5CE6"/>
    <w:rsid w:val="00DD03A0"/>
    <w:rsid w:val="00DD07ED"/>
    <w:rsid w:val="00DD3AC2"/>
    <w:rsid w:val="00DE321D"/>
    <w:rsid w:val="00E00477"/>
    <w:rsid w:val="00E14E3E"/>
    <w:rsid w:val="00E370F0"/>
    <w:rsid w:val="00E371DB"/>
    <w:rsid w:val="00E47801"/>
    <w:rsid w:val="00E62385"/>
    <w:rsid w:val="00E82F13"/>
    <w:rsid w:val="00E877BE"/>
    <w:rsid w:val="00E92B5A"/>
    <w:rsid w:val="00E93F42"/>
    <w:rsid w:val="00EB2BD0"/>
    <w:rsid w:val="00EC4C8A"/>
    <w:rsid w:val="00EC7706"/>
    <w:rsid w:val="00ED3DC2"/>
    <w:rsid w:val="00EE37B0"/>
    <w:rsid w:val="00EF3BCB"/>
    <w:rsid w:val="00EF777C"/>
    <w:rsid w:val="00F160D6"/>
    <w:rsid w:val="00F20763"/>
    <w:rsid w:val="00F233A0"/>
    <w:rsid w:val="00F241A2"/>
    <w:rsid w:val="00F3488D"/>
    <w:rsid w:val="00F41874"/>
    <w:rsid w:val="00F4396A"/>
    <w:rsid w:val="00F515EF"/>
    <w:rsid w:val="00F60632"/>
    <w:rsid w:val="00F63CA4"/>
    <w:rsid w:val="00F72CEE"/>
    <w:rsid w:val="00F8102C"/>
    <w:rsid w:val="00F92CE3"/>
    <w:rsid w:val="00FB0C14"/>
    <w:rsid w:val="00FD0869"/>
    <w:rsid w:val="00FE67DA"/>
    <w:rsid w:val="00FE7C36"/>
    <w:rsid w:val="00FF072C"/>
    <w:rsid w:val="00FF61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A1C4B"/>
  <w15:docId w15:val="{8B2ABAC6-5DC2-4956-B946-5525189E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342CF"/>
    <w:rPr>
      <w:color w:val="0000FF" w:themeColor="hyperlink"/>
      <w:u w:val="single"/>
    </w:rPr>
  </w:style>
  <w:style w:type="character" w:styleId="UnresolvedMention">
    <w:name w:val="Unresolved Mention"/>
    <w:basedOn w:val="DefaultParagraphFont"/>
    <w:uiPriority w:val="99"/>
    <w:semiHidden/>
    <w:unhideWhenUsed/>
    <w:rsid w:val="002342CF"/>
    <w:rPr>
      <w:color w:val="605E5C"/>
      <w:shd w:val="clear" w:color="auto" w:fill="E1DFDD"/>
    </w:rPr>
  </w:style>
  <w:style w:type="table" w:styleId="TableGrid">
    <w:name w:val="Table Grid"/>
    <w:basedOn w:val="TableNormal"/>
    <w:uiPriority w:val="39"/>
    <w:rsid w:val="00CC7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44A6"/>
    <w:pPr>
      <w:tabs>
        <w:tab w:val="center" w:pos="4680"/>
        <w:tab w:val="right" w:pos="9360"/>
      </w:tabs>
    </w:pPr>
  </w:style>
  <w:style w:type="character" w:customStyle="1" w:styleId="HeaderChar">
    <w:name w:val="Header Char"/>
    <w:basedOn w:val="DefaultParagraphFont"/>
    <w:link w:val="Header"/>
    <w:uiPriority w:val="99"/>
    <w:rsid w:val="004B44A6"/>
    <w:rPr>
      <w:rFonts w:ascii="Calibri" w:eastAsia="Calibri" w:hAnsi="Calibri" w:cs="Calibri"/>
    </w:rPr>
  </w:style>
  <w:style w:type="paragraph" w:styleId="Footer">
    <w:name w:val="footer"/>
    <w:basedOn w:val="Normal"/>
    <w:link w:val="FooterChar"/>
    <w:uiPriority w:val="99"/>
    <w:unhideWhenUsed/>
    <w:rsid w:val="004B44A6"/>
    <w:pPr>
      <w:tabs>
        <w:tab w:val="center" w:pos="4680"/>
        <w:tab w:val="right" w:pos="9360"/>
      </w:tabs>
    </w:pPr>
  </w:style>
  <w:style w:type="character" w:customStyle="1" w:styleId="FooterChar">
    <w:name w:val="Footer Char"/>
    <w:basedOn w:val="DefaultParagraphFont"/>
    <w:link w:val="Footer"/>
    <w:uiPriority w:val="99"/>
    <w:rsid w:val="004B44A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676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lyit.ie/Staff-Hub/Strategic-Pla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E457C67E169447915523213D3AED5B" ma:contentTypeVersion="12" ma:contentTypeDescription="Create a new document." ma:contentTypeScope="" ma:versionID="0ffc8006be037ef6eade596dbcc3c085">
  <xsd:schema xmlns:xsd="http://www.w3.org/2001/XMLSchema" xmlns:xs="http://www.w3.org/2001/XMLSchema" xmlns:p="http://schemas.microsoft.com/office/2006/metadata/properties" xmlns:ns2="bbe67835-713a-487a-8517-35557113c8c4" xmlns:ns3="f1b85e77-1097-44bb-b467-2838a86a9c95" targetNamespace="http://schemas.microsoft.com/office/2006/metadata/properties" ma:root="true" ma:fieldsID="dc9ec03c4b42df571192d1b30c8b80ea" ns2:_="" ns3:_="">
    <xsd:import namespace="bbe67835-713a-487a-8517-35557113c8c4"/>
    <xsd:import namespace="f1b85e77-1097-44bb-b467-2838a86a9c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67835-713a-487a-8517-35557113c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b85e77-1097-44bb-b467-2838a86a9c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A567F9-4668-4769-8777-C263C259D6D9}">
  <ds:schemaRefs>
    <ds:schemaRef ds:uri="http://schemas.microsoft.com/sharepoint/v3/contenttype/forms"/>
  </ds:schemaRefs>
</ds:datastoreItem>
</file>

<file path=customXml/itemProps2.xml><?xml version="1.0" encoding="utf-8"?>
<ds:datastoreItem xmlns:ds="http://schemas.openxmlformats.org/officeDocument/2006/customXml" ds:itemID="{0E54EBA0-B64F-4337-88EC-DD188BFDB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67835-713a-487a-8517-35557113c8c4"/>
    <ds:schemaRef ds:uri="f1b85e77-1097-44bb-b467-2838a86a9c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45DCED-D8B2-41A5-AD1D-47FA85D0CC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0103392s</dc:creator>
  <cp:lastModifiedBy>Dobson Peter</cp:lastModifiedBy>
  <cp:revision>3</cp:revision>
  <dcterms:created xsi:type="dcterms:W3CDTF">2021-05-07T13:34:00Z</dcterms:created>
  <dcterms:modified xsi:type="dcterms:W3CDTF">2021-05-07T13:39:00Z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2014-07-03T00:00:00Z</vt:filetime>
  </property>
  <property fmtid="{D5CDD505-2E9C-101B-9397-08002B2CF9AE}" pid="3" name="Creator">
    <vt:lpwstr>Acrobat PDFMaker 9.1 for Word</vt:lpwstr>
  </property>
  <property fmtid="{D5CDD505-2E9C-101B-9397-08002B2CF9AE}" pid="4" name="LastSaved">
    <vt:filetime>2020-05-19T00:00:00Z</vt:filetime>
  </property>
  <property fmtid="{D5CDD505-2E9C-101B-9397-08002B2CF9AE}" pid="5" name="ContentTypeId">
    <vt:lpwstr>0x010100D4E457C67E169447915523213D3AED5B</vt:lpwstr>
  </property>
</Properties>
</file>