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FF" w:rsidRDefault="00A627FF" w:rsidP="001E2711">
      <w:pPr>
        <w:ind w:left="2410" w:right="-472"/>
      </w:pPr>
      <w:r>
        <w:rPr>
          <w:rFonts w:ascii="Georgia" w:hAnsi="Georg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 wp14:anchorId="55B81242" wp14:editId="11A14905">
            <wp:simplePos x="0" y="0"/>
            <wp:positionH relativeFrom="margin">
              <wp:posOffset>-95250</wp:posOffset>
            </wp:positionH>
            <wp:positionV relativeFrom="margin">
              <wp:posOffset>-323850</wp:posOffset>
            </wp:positionV>
            <wp:extent cx="1463070" cy="88582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rtra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28"/>
          <w:szCs w:val="28"/>
        </w:rPr>
        <w:t>Deferral Application Form</w:t>
      </w:r>
      <w:r w:rsidR="006C1157">
        <w:rPr>
          <w:rFonts w:ascii="Georgia" w:hAnsi="Georgia"/>
          <w:b/>
          <w:sz w:val="28"/>
          <w:szCs w:val="28"/>
        </w:rPr>
        <w:t xml:space="preserve"> </w:t>
      </w:r>
      <w:r w:rsidR="006C1157" w:rsidRPr="006C1157">
        <w:rPr>
          <w:rFonts w:ascii="Georgia" w:hAnsi="Georgia"/>
          <w:b/>
          <w:szCs w:val="28"/>
        </w:rPr>
        <w:t>(Registered Students only)</w:t>
      </w:r>
    </w:p>
    <w:p w:rsidR="00A627FF" w:rsidRDefault="00A627FF" w:rsidP="00A627FF">
      <w:pPr>
        <w:spacing w:after="0"/>
        <w:jc w:val="both"/>
        <w:rPr>
          <w:sz w:val="20"/>
        </w:rPr>
      </w:pPr>
    </w:p>
    <w:p w:rsidR="001E2711" w:rsidRPr="007D5AA2" w:rsidRDefault="001E2711" w:rsidP="00A627FF">
      <w:pPr>
        <w:spacing w:after="0"/>
        <w:jc w:val="both"/>
        <w:rPr>
          <w:sz w:val="20"/>
          <w:szCs w:val="20"/>
        </w:rPr>
      </w:pPr>
    </w:p>
    <w:p w:rsidR="001E2711" w:rsidRPr="007D5AA2" w:rsidRDefault="001E2711" w:rsidP="001E2711">
      <w:pPr>
        <w:spacing w:after="0"/>
        <w:jc w:val="both"/>
        <w:rPr>
          <w:sz w:val="20"/>
          <w:szCs w:val="20"/>
        </w:rPr>
      </w:pPr>
      <w:r w:rsidRPr="007D5AA2">
        <w:rPr>
          <w:sz w:val="20"/>
          <w:szCs w:val="20"/>
        </w:rPr>
        <w:t xml:space="preserve">A registered student who wishes to </w:t>
      </w:r>
      <w:r w:rsidR="007D5AA2">
        <w:rPr>
          <w:sz w:val="20"/>
          <w:szCs w:val="20"/>
        </w:rPr>
        <w:t>defer</w:t>
      </w:r>
      <w:r w:rsidRPr="007D5AA2">
        <w:rPr>
          <w:sz w:val="20"/>
          <w:szCs w:val="20"/>
        </w:rPr>
        <w:t xml:space="preserve"> their place on a programme, must seek the formal written approval of the Institute.  Please consult with your Head of Department (HoD) before completing this form, as their signature will be required</w:t>
      </w:r>
      <w:r w:rsidR="000357DB">
        <w:rPr>
          <w:sz w:val="20"/>
          <w:szCs w:val="20"/>
        </w:rPr>
        <w:t>.  Submission of a completed for</w:t>
      </w:r>
      <w:r w:rsidRPr="007D5AA2">
        <w:rPr>
          <w:sz w:val="20"/>
          <w:szCs w:val="20"/>
        </w:rPr>
        <w:t xml:space="preserve">m to </w:t>
      </w:r>
      <w:r w:rsidR="000357DB">
        <w:rPr>
          <w:sz w:val="20"/>
          <w:szCs w:val="20"/>
        </w:rPr>
        <w:t>the Admissions Office</w:t>
      </w:r>
      <w:r w:rsidRPr="007D5AA2">
        <w:rPr>
          <w:sz w:val="20"/>
          <w:szCs w:val="20"/>
        </w:rPr>
        <w:t xml:space="preserve">, signed by both the student and their HoD is a necessary part of the approval process. </w:t>
      </w:r>
      <w:r w:rsidR="007D5AA2" w:rsidRPr="007D5AA2">
        <w:rPr>
          <w:sz w:val="20"/>
          <w:szCs w:val="20"/>
        </w:rPr>
        <w:t xml:space="preserve"> Please note, there are </w:t>
      </w:r>
      <w:r w:rsidR="007D5AA2" w:rsidRPr="007D5AA2">
        <w:rPr>
          <w:rFonts w:eastAsia="Times New Roman"/>
          <w:sz w:val="20"/>
          <w:szCs w:val="20"/>
        </w:rPr>
        <w:t>significant implications for fee liability where a student leaves but fails to defer.</w:t>
      </w:r>
      <w:r w:rsidR="007D5AA2">
        <w:rPr>
          <w:rFonts w:eastAsia="Times New Roman"/>
          <w:sz w:val="20"/>
          <w:szCs w:val="20"/>
        </w:rPr>
        <w:t xml:space="preserve">  If you wish to leave your course, please follow the deregistration process.</w:t>
      </w:r>
    </w:p>
    <w:p w:rsidR="00193AF6" w:rsidRPr="00A627FF" w:rsidRDefault="00193AF6" w:rsidP="00A627FF">
      <w:pPr>
        <w:spacing w:after="0"/>
        <w:jc w:val="both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933"/>
      </w:tblGrid>
      <w:tr w:rsidR="00CC7D1C" w:rsidRPr="001E2711" w:rsidTr="00A942F1">
        <w:tc>
          <w:tcPr>
            <w:tcW w:w="2405" w:type="dxa"/>
          </w:tcPr>
          <w:p w:rsidR="00CC7D1C" w:rsidRPr="000357DB" w:rsidRDefault="00CC7D1C" w:rsidP="00A627FF">
            <w:pPr>
              <w:rPr>
                <w:sz w:val="20"/>
                <w:szCs w:val="18"/>
              </w:rPr>
            </w:pPr>
            <w:r w:rsidRPr="000357DB">
              <w:rPr>
                <w:b/>
                <w:sz w:val="20"/>
                <w:szCs w:val="18"/>
              </w:rPr>
              <w:t>Student ID Number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7D1C" w:rsidRPr="001E2711" w:rsidRDefault="008977B4" w:rsidP="00E7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D1C" w:rsidRPr="001E2711" w:rsidRDefault="00CC7D1C" w:rsidP="00A627FF">
            <w:pPr>
              <w:rPr>
                <w:b/>
                <w:sz w:val="18"/>
                <w:szCs w:val="18"/>
              </w:rPr>
            </w:pPr>
          </w:p>
        </w:tc>
        <w:tc>
          <w:tcPr>
            <w:tcW w:w="1933" w:type="dxa"/>
          </w:tcPr>
          <w:p w:rsidR="00CC7D1C" w:rsidRPr="001E2711" w:rsidRDefault="00CC7D1C" w:rsidP="00A627FF">
            <w:pPr>
              <w:rPr>
                <w:sz w:val="18"/>
                <w:szCs w:val="18"/>
              </w:rPr>
            </w:pPr>
          </w:p>
        </w:tc>
      </w:tr>
      <w:tr w:rsidR="00CC7D1C" w:rsidRPr="001E2711" w:rsidTr="00A942F1">
        <w:tc>
          <w:tcPr>
            <w:tcW w:w="2405" w:type="dxa"/>
          </w:tcPr>
          <w:p w:rsidR="00CC7D1C" w:rsidRPr="000357DB" w:rsidRDefault="00CC7D1C" w:rsidP="00A627FF">
            <w:pPr>
              <w:rPr>
                <w:b/>
                <w:sz w:val="20"/>
                <w:szCs w:val="18"/>
              </w:rPr>
            </w:pPr>
            <w:r w:rsidRPr="000357DB">
              <w:rPr>
                <w:b/>
                <w:sz w:val="20"/>
                <w:szCs w:val="18"/>
              </w:rPr>
              <w:t>Name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C7D1C" w:rsidRPr="001E2711" w:rsidRDefault="008977B4" w:rsidP="00E7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</w:tcPr>
          <w:p w:rsidR="00CC7D1C" w:rsidRPr="001E2711" w:rsidRDefault="00CC7D1C" w:rsidP="00A627FF">
            <w:pPr>
              <w:rPr>
                <w:sz w:val="18"/>
                <w:szCs w:val="18"/>
              </w:rPr>
            </w:pPr>
          </w:p>
        </w:tc>
      </w:tr>
    </w:tbl>
    <w:p w:rsidR="00CC7D1C" w:rsidRPr="001E2711" w:rsidRDefault="00CC7D1C" w:rsidP="00A627FF">
      <w:pPr>
        <w:tabs>
          <w:tab w:val="left" w:pos="2367"/>
          <w:tab w:val="left" w:pos="4621"/>
          <w:tab w:val="left" w:pos="6875"/>
        </w:tabs>
        <w:spacing w:after="0"/>
        <w:ind w:left="113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CC7D1C" w:rsidRPr="001E2711" w:rsidTr="009320CA">
        <w:tc>
          <w:tcPr>
            <w:tcW w:w="2405" w:type="dxa"/>
          </w:tcPr>
          <w:p w:rsidR="00CC7D1C" w:rsidRPr="000357DB" w:rsidRDefault="00CC7D1C" w:rsidP="00A627FF">
            <w:pPr>
              <w:rPr>
                <w:b/>
                <w:sz w:val="20"/>
                <w:szCs w:val="18"/>
              </w:rPr>
            </w:pPr>
            <w:r w:rsidRPr="000357DB">
              <w:rPr>
                <w:b/>
                <w:sz w:val="20"/>
                <w:szCs w:val="18"/>
              </w:rPr>
              <w:t>Programme Title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CC7D1C" w:rsidRPr="001E2711" w:rsidRDefault="008977B4" w:rsidP="00E7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C7D1C" w:rsidRPr="001E2711" w:rsidTr="009320CA">
        <w:tc>
          <w:tcPr>
            <w:tcW w:w="2405" w:type="dxa"/>
          </w:tcPr>
          <w:p w:rsidR="00CC7D1C" w:rsidRPr="000357DB" w:rsidRDefault="00CC7D1C" w:rsidP="00A627FF">
            <w:pPr>
              <w:rPr>
                <w:b/>
                <w:sz w:val="20"/>
                <w:szCs w:val="18"/>
              </w:rPr>
            </w:pPr>
            <w:r w:rsidRPr="000357DB">
              <w:rPr>
                <w:b/>
                <w:sz w:val="20"/>
                <w:szCs w:val="18"/>
              </w:rPr>
              <w:t>Programme Year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CC7D1C" w:rsidRPr="001E2711" w:rsidRDefault="008977B4" w:rsidP="00E7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C7D1C" w:rsidRPr="001E2711" w:rsidTr="009320CA">
        <w:tc>
          <w:tcPr>
            <w:tcW w:w="2405" w:type="dxa"/>
          </w:tcPr>
          <w:p w:rsidR="00CC7D1C" w:rsidRPr="000357DB" w:rsidRDefault="00CC7D1C" w:rsidP="00A627FF">
            <w:pPr>
              <w:rPr>
                <w:b/>
                <w:sz w:val="20"/>
                <w:szCs w:val="18"/>
              </w:rPr>
            </w:pPr>
            <w:r w:rsidRPr="000357DB">
              <w:rPr>
                <w:b/>
                <w:sz w:val="20"/>
                <w:szCs w:val="18"/>
              </w:rPr>
              <w:t>Last date of Attendance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CC7D1C" w:rsidRPr="001E2711" w:rsidRDefault="008977B4" w:rsidP="00E7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CC7D1C" w:rsidRPr="001E2711" w:rsidRDefault="00CC7D1C" w:rsidP="00A627FF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C217E" w:rsidTr="001E4BD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1C217E" w:rsidRPr="00A627FF" w:rsidRDefault="001C217E" w:rsidP="00A627FF">
            <w:pPr>
              <w:rPr>
                <w:b/>
                <w:sz w:val="20"/>
              </w:rPr>
            </w:pPr>
            <w:r w:rsidRPr="00A627FF">
              <w:rPr>
                <w:b/>
                <w:sz w:val="20"/>
              </w:rPr>
              <w:t>Year/Semester to be deferred: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A627FF" w:rsidRDefault="009320CA" w:rsidP="00A627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 w:val="20"/>
              </w:rPr>
              <w:instrText xml:space="preserve"> FORMCHECKBOX </w:instrText>
            </w:r>
            <w:r w:rsidR="00C54740">
              <w:rPr>
                <w:sz w:val="20"/>
              </w:rPr>
            </w:r>
            <w:r w:rsidR="00C547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r w:rsidR="001C217E" w:rsidRPr="00A627FF">
              <w:rPr>
                <w:sz w:val="20"/>
              </w:rPr>
              <w:t>Full academic year</w:t>
            </w:r>
          </w:p>
          <w:p w:rsidR="00A627FF" w:rsidRDefault="009320CA" w:rsidP="00A627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54740">
              <w:rPr>
                <w:sz w:val="20"/>
              </w:rPr>
            </w:r>
            <w:r w:rsidR="00C547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A627FF">
              <w:rPr>
                <w:sz w:val="20"/>
              </w:rPr>
              <w:t>W</w:t>
            </w:r>
            <w:r w:rsidR="001C217E" w:rsidRPr="00A627FF">
              <w:rPr>
                <w:sz w:val="20"/>
              </w:rPr>
              <w:t xml:space="preserve">inter </w:t>
            </w:r>
            <w:r w:rsidR="00A627FF">
              <w:rPr>
                <w:sz w:val="20"/>
              </w:rPr>
              <w:t>Semester only</w:t>
            </w:r>
          </w:p>
          <w:p w:rsidR="001C217E" w:rsidRDefault="009320CA" w:rsidP="00A627FF"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54740">
              <w:rPr>
                <w:sz w:val="20"/>
              </w:rPr>
            </w:r>
            <w:r w:rsidR="00C547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A627FF">
              <w:rPr>
                <w:sz w:val="20"/>
              </w:rPr>
              <w:t>Spring Semester only</w:t>
            </w:r>
          </w:p>
        </w:tc>
      </w:tr>
      <w:tr w:rsidR="001C217E" w:rsidTr="001E4BD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9320CA" w:rsidRDefault="009320CA" w:rsidP="00A627FF">
            <w:pPr>
              <w:rPr>
                <w:b/>
                <w:sz w:val="20"/>
              </w:rPr>
            </w:pPr>
          </w:p>
          <w:p w:rsidR="001C217E" w:rsidRPr="00A627FF" w:rsidRDefault="001C217E" w:rsidP="00A627FF">
            <w:pPr>
              <w:rPr>
                <w:b/>
                <w:sz w:val="20"/>
              </w:rPr>
            </w:pPr>
            <w:r w:rsidRPr="00A627FF">
              <w:rPr>
                <w:b/>
                <w:sz w:val="20"/>
              </w:rPr>
              <w:t>Expected date of return to LYIT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0CA" w:rsidRDefault="009320CA" w:rsidP="00A627FF">
            <w:pPr>
              <w:rPr>
                <w:sz w:val="20"/>
                <w:szCs w:val="20"/>
              </w:rPr>
            </w:pPr>
          </w:p>
          <w:p w:rsidR="001C217E" w:rsidRPr="009320CA" w:rsidRDefault="008977B4" w:rsidP="00E7010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C217E" w:rsidTr="001E4BD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1C217E" w:rsidRPr="00A627FF" w:rsidRDefault="001C217E" w:rsidP="00A627FF">
            <w:pPr>
              <w:rPr>
                <w:b/>
                <w:sz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17E" w:rsidRPr="009320CA" w:rsidRDefault="001C217E" w:rsidP="009320CA">
            <w:pPr>
              <w:rPr>
                <w:sz w:val="20"/>
                <w:szCs w:val="20"/>
              </w:rPr>
            </w:pPr>
          </w:p>
        </w:tc>
      </w:tr>
      <w:tr w:rsidR="001C217E" w:rsidTr="009320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1C217E" w:rsidRPr="00A627FF" w:rsidRDefault="00BA1E92" w:rsidP="00A627FF">
            <w:pPr>
              <w:rPr>
                <w:b/>
                <w:sz w:val="20"/>
              </w:rPr>
            </w:pPr>
            <w:r w:rsidRPr="00A627FF">
              <w:rPr>
                <w:b/>
                <w:sz w:val="20"/>
              </w:rPr>
              <w:t>In receipt of</w:t>
            </w:r>
            <w:r w:rsidR="00A627FF">
              <w:rPr>
                <w:b/>
                <w:sz w:val="20"/>
              </w:rPr>
              <w:t xml:space="preserve"> a</w:t>
            </w:r>
            <w:r w:rsidRPr="00A627FF">
              <w:rPr>
                <w:b/>
                <w:sz w:val="20"/>
              </w:rPr>
              <w:t xml:space="preserve"> grant 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9320CA" w:rsidRDefault="009320CA" w:rsidP="009320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54740">
              <w:rPr>
                <w:sz w:val="20"/>
              </w:rPr>
            </w:r>
            <w:r w:rsidR="00C547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  <w:p w:rsidR="001C217E" w:rsidRPr="009320CA" w:rsidRDefault="009320CA" w:rsidP="009320CA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54740">
              <w:rPr>
                <w:sz w:val="20"/>
              </w:rPr>
            </w:r>
            <w:r w:rsidR="00C5474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</w:tc>
      </w:tr>
      <w:tr w:rsidR="001C217E" w:rsidTr="009320CA">
        <w:trPr>
          <w:trHeight w:val="21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1C217E" w:rsidRDefault="001C217E" w:rsidP="00A627FF">
            <w:pPr>
              <w:rPr>
                <w:b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1C217E" w:rsidRPr="009320CA" w:rsidRDefault="001C217E" w:rsidP="00A627FF">
            <w:pPr>
              <w:rPr>
                <w:sz w:val="20"/>
                <w:szCs w:val="20"/>
              </w:rPr>
            </w:pPr>
          </w:p>
        </w:tc>
      </w:tr>
      <w:tr w:rsidR="00BA1E92" w:rsidRPr="009320CA" w:rsidTr="009320CA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E92" w:rsidRPr="009320CA" w:rsidRDefault="000357DB" w:rsidP="000357DB">
            <w:pPr>
              <w:rPr>
                <w:sz w:val="20"/>
              </w:rPr>
            </w:pPr>
            <w:r>
              <w:rPr>
                <w:b/>
                <w:sz w:val="20"/>
              </w:rPr>
              <w:t>Reason for Deferral</w:t>
            </w:r>
          </w:p>
        </w:tc>
      </w:tr>
      <w:tr w:rsidR="00BA1E92" w:rsidTr="009320CA">
        <w:trPr>
          <w:trHeight w:val="2306"/>
        </w:trPr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BA1E92" w:rsidRDefault="008977B4" w:rsidP="00E70102"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93AF6" w:rsidRDefault="00193AF6" w:rsidP="00A627FF">
      <w:pPr>
        <w:spacing w:after="0"/>
      </w:pPr>
    </w:p>
    <w:p w:rsidR="00E27B8E" w:rsidRDefault="001E2711" w:rsidP="00A627FF">
      <w:pPr>
        <w:spacing w:after="0"/>
        <w:rPr>
          <w:sz w:val="20"/>
          <w:szCs w:val="20"/>
        </w:rPr>
      </w:pPr>
      <w:r w:rsidRPr="009320CA">
        <w:rPr>
          <w:sz w:val="20"/>
          <w:szCs w:val="20"/>
        </w:rPr>
        <w:t xml:space="preserve">I hereby request </w:t>
      </w:r>
      <w:r>
        <w:rPr>
          <w:sz w:val="20"/>
          <w:szCs w:val="20"/>
        </w:rPr>
        <w:t xml:space="preserve">permission to </w:t>
      </w:r>
      <w:r w:rsidR="007D5AA2">
        <w:rPr>
          <w:sz w:val="20"/>
          <w:szCs w:val="20"/>
        </w:rPr>
        <w:t>defer the year/semester as outlined above</w:t>
      </w:r>
      <w:r>
        <w:rPr>
          <w:sz w:val="20"/>
          <w:szCs w:val="20"/>
        </w:rPr>
        <w:t xml:space="preserve">, </w:t>
      </w:r>
      <w:r w:rsidRPr="009320CA">
        <w:rPr>
          <w:sz w:val="20"/>
          <w:szCs w:val="20"/>
        </w:rPr>
        <w:t>I confirm that I have read t</w:t>
      </w:r>
      <w:r>
        <w:rPr>
          <w:sz w:val="20"/>
          <w:szCs w:val="20"/>
        </w:rPr>
        <w:t xml:space="preserve">he deferral procedures overleaf </w:t>
      </w:r>
      <w:r w:rsidRPr="001E2711">
        <w:rPr>
          <w:sz w:val="20"/>
          <w:szCs w:val="20"/>
        </w:rPr>
        <w:t>and that I understand the terms and conditions that apply.</w:t>
      </w:r>
    </w:p>
    <w:p w:rsidR="001E2711" w:rsidRDefault="001E2711" w:rsidP="00A627FF">
      <w:pPr>
        <w:spacing w:after="0"/>
      </w:pPr>
    </w:p>
    <w:p w:rsidR="00BA1E92" w:rsidRDefault="009320CA" w:rsidP="00706F03">
      <w:pPr>
        <w:tabs>
          <w:tab w:val="left" w:pos="1701"/>
        </w:tabs>
        <w:spacing w:after="0"/>
        <w:rPr>
          <w:sz w:val="20"/>
        </w:rPr>
      </w:pPr>
      <w:r w:rsidRPr="009320CA">
        <w:rPr>
          <w:b/>
          <w:sz w:val="20"/>
        </w:rPr>
        <w:t>Student</w:t>
      </w:r>
      <w:r w:rsidR="00BA1E92" w:rsidRPr="009320CA">
        <w:rPr>
          <w:b/>
          <w:sz w:val="20"/>
        </w:rPr>
        <w:t xml:space="preserve"> s</w:t>
      </w:r>
      <w:r w:rsidRPr="009320CA">
        <w:rPr>
          <w:b/>
          <w:sz w:val="20"/>
        </w:rPr>
        <w:t>ignature</w:t>
      </w:r>
      <w:r w:rsidR="00BA1E92" w:rsidRPr="009320CA">
        <w:rPr>
          <w:b/>
          <w:sz w:val="20"/>
        </w:rPr>
        <w:t>:</w:t>
      </w:r>
      <w:r w:rsidR="00706F03">
        <w:rPr>
          <w:sz w:val="20"/>
        </w:rPr>
        <w:tab/>
      </w:r>
      <w:r>
        <w:rPr>
          <w:sz w:val="20"/>
        </w:rPr>
        <w:t>___</w:t>
      </w:r>
      <w:r w:rsidR="005927AA">
        <w:rPr>
          <w:sz w:val="20"/>
        </w:rPr>
        <w:t>__________________________________</w:t>
      </w:r>
      <w:r w:rsidR="005927AA">
        <w:rPr>
          <w:sz w:val="20"/>
        </w:rPr>
        <w:tab/>
      </w:r>
      <w:r w:rsidR="005927AA">
        <w:rPr>
          <w:sz w:val="20"/>
        </w:rPr>
        <w:tab/>
      </w:r>
      <w:r w:rsidR="00E27B8E" w:rsidRPr="005927AA">
        <w:rPr>
          <w:b/>
          <w:sz w:val="20"/>
        </w:rPr>
        <w:t>Date</w:t>
      </w:r>
      <w:r w:rsidRPr="005927AA">
        <w:rPr>
          <w:b/>
          <w:sz w:val="20"/>
        </w:rPr>
        <w:t>:</w:t>
      </w:r>
      <w:r>
        <w:rPr>
          <w:sz w:val="20"/>
        </w:rPr>
        <w:t xml:space="preserve">  _______________________</w:t>
      </w:r>
    </w:p>
    <w:p w:rsidR="00706F03" w:rsidRDefault="00706F03" w:rsidP="00706F03">
      <w:pPr>
        <w:tabs>
          <w:tab w:val="left" w:pos="1701"/>
        </w:tabs>
        <w:spacing w:after="0"/>
        <w:rPr>
          <w:sz w:val="20"/>
        </w:rPr>
      </w:pPr>
    </w:p>
    <w:p w:rsidR="00706F03" w:rsidRDefault="00706F03" w:rsidP="00706F03">
      <w:pPr>
        <w:tabs>
          <w:tab w:val="left" w:pos="1701"/>
        </w:tabs>
        <w:spacing w:after="0"/>
        <w:rPr>
          <w:sz w:val="20"/>
        </w:rPr>
      </w:pPr>
      <w:r>
        <w:rPr>
          <w:b/>
          <w:sz w:val="20"/>
        </w:rPr>
        <w:t>Authorised by</w:t>
      </w:r>
      <w:r w:rsidRPr="009320CA"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_____________________________________</w:t>
      </w:r>
      <w:r>
        <w:rPr>
          <w:sz w:val="20"/>
        </w:rPr>
        <w:tab/>
      </w:r>
      <w:r>
        <w:rPr>
          <w:sz w:val="20"/>
        </w:rPr>
        <w:tab/>
      </w:r>
      <w:r w:rsidRPr="005927AA">
        <w:rPr>
          <w:b/>
          <w:sz w:val="20"/>
        </w:rPr>
        <w:t>Date:</w:t>
      </w:r>
      <w:r>
        <w:rPr>
          <w:sz w:val="20"/>
        </w:rPr>
        <w:t xml:space="preserve">  _______________________</w:t>
      </w:r>
    </w:p>
    <w:p w:rsidR="00706F03" w:rsidRPr="009320CA" w:rsidRDefault="00706F03" w:rsidP="00706F03">
      <w:pPr>
        <w:tabs>
          <w:tab w:val="left" w:pos="1701"/>
        </w:tabs>
        <w:spacing w:after="0"/>
        <w:rPr>
          <w:sz w:val="20"/>
        </w:rPr>
      </w:pPr>
      <w:r>
        <w:rPr>
          <w:sz w:val="20"/>
        </w:rPr>
        <w:tab/>
        <w:t>Head of Department/School</w:t>
      </w:r>
    </w:p>
    <w:p w:rsidR="009320CA" w:rsidRDefault="009320CA" w:rsidP="00A627F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27AA" w:rsidRPr="00292C87" w:rsidTr="005927AA">
        <w:tc>
          <w:tcPr>
            <w:tcW w:w="9628" w:type="dxa"/>
          </w:tcPr>
          <w:p w:rsidR="005927AA" w:rsidRPr="00292C87" w:rsidRDefault="005927AA" w:rsidP="005927AA">
            <w:pPr>
              <w:rPr>
                <w:b/>
                <w:sz w:val="18"/>
              </w:rPr>
            </w:pPr>
            <w:r w:rsidRPr="00292C87">
              <w:rPr>
                <w:b/>
                <w:sz w:val="18"/>
              </w:rPr>
              <w:t>Office Use Only</w:t>
            </w:r>
          </w:p>
          <w:p w:rsidR="005927AA" w:rsidRPr="00292C87" w:rsidRDefault="005927AA" w:rsidP="005927AA">
            <w:pPr>
              <w:rPr>
                <w:sz w:val="18"/>
              </w:rPr>
            </w:pPr>
          </w:p>
          <w:p w:rsidR="005927AA" w:rsidRPr="00292C87" w:rsidRDefault="005927AA" w:rsidP="005927AA">
            <w:pPr>
              <w:rPr>
                <w:sz w:val="18"/>
              </w:rPr>
            </w:pPr>
            <w:r w:rsidRPr="00292C87">
              <w:rPr>
                <w:sz w:val="18"/>
              </w:rPr>
              <w:t xml:space="preserve">Admissions </w:t>
            </w:r>
            <w:r w:rsidR="00562D39" w:rsidRPr="00292C87">
              <w:rPr>
                <w:sz w:val="18"/>
              </w:rPr>
              <w:t xml:space="preserve">Office </w:t>
            </w:r>
            <w:r w:rsidRPr="00292C87">
              <w:rPr>
                <w:sz w:val="18"/>
              </w:rPr>
              <w:t xml:space="preserve">Signature:      ____________________________                 </w:t>
            </w:r>
            <w:r w:rsidR="00562D39" w:rsidRPr="00292C87">
              <w:rPr>
                <w:sz w:val="18"/>
              </w:rPr>
              <w:t xml:space="preserve">       </w:t>
            </w:r>
            <w:r w:rsidRPr="00292C87">
              <w:rPr>
                <w:sz w:val="18"/>
              </w:rPr>
              <w:t xml:space="preserve">   Date: __________________</w:t>
            </w:r>
          </w:p>
          <w:p w:rsidR="005927AA" w:rsidRPr="00292C87" w:rsidRDefault="005927AA" w:rsidP="005927AA">
            <w:pPr>
              <w:rPr>
                <w:sz w:val="18"/>
              </w:rPr>
            </w:pPr>
          </w:p>
          <w:p w:rsidR="00706F03" w:rsidRPr="00292C87" w:rsidRDefault="00706F03" w:rsidP="00706F03">
            <w:pPr>
              <w:tabs>
                <w:tab w:val="left" w:pos="1440"/>
              </w:tabs>
              <w:rPr>
                <w:sz w:val="18"/>
              </w:rPr>
            </w:pPr>
            <w:r w:rsidRPr="00292C87">
              <w:rPr>
                <w:sz w:val="18"/>
              </w:rPr>
              <w:t>Fees Paid:</w:t>
            </w:r>
            <w:r w:rsidRPr="00292C87">
              <w:rPr>
                <w:sz w:val="18"/>
              </w:rPr>
              <w:tab/>
              <w:t>€_______________</w:t>
            </w:r>
          </w:p>
          <w:p w:rsidR="00706F03" w:rsidRPr="00292C87" w:rsidRDefault="00706F03" w:rsidP="00706F03">
            <w:pPr>
              <w:tabs>
                <w:tab w:val="left" w:pos="1440"/>
              </w:tabs>
              <w:rPr>
                <w:sz w:val="18"/>
              </w:rPr>
            </w:pPr>
            <w:r w:rsidRPr="00292C87">
              <w:rPr>
                <w:sz w:val="18"/>
              </w:rPr>
              <w:t>Refund Due:</w:t>
            </w:r>
            <w:r w:rsidRPr="00292C87">
              <w:rPr>
                <w:sz w:val="18"/>
              </w:rPr>
              <w:tab/>
              <w:t>€_______________</w:t>
            </w:r>
          </w:p>
          <w:p w:rsidR="00706F03" w:rsidRPr="00292C87" w:rsidRDefault="00706F03" w:rsidP="00706F03">
            <w:pPr>
              <w:tabs>
                <w:tab w:val="left" w:pos="1440"/>
              </w:tabs>
              <w:rPr>
                <w:sz w:val="18"/>
              </w:rPr>
            </w:pPr>
            <w:r w:rsidRPr="00292C87">
              <w:rPr>
                <w:sz w:val="18"/>
              </w:rPr>
              <w:t>Fees Due:</w:t>
            </w:r>
            <w:r w:rsidRPr="00292C87">
              <w:rPr>
                <w:sz w:val="18"/>
              </w:rPr>
              <w:tab/>
              <w:t>€_______________</w:t>
            </w:r>
          </w:p>
          <w:p w:rsidR="005927AA" w:rsidRPr="00292C87" w:rsidRDefault="005927AA" w:rsidP="00706F03">
            <w:pPr>
              <w:tabs>
                <w:tab w:val="left" w:pos="1014"/>
                <w:tab w:val="left" w:pos="4111"/>
              </w:tabs>
              <w:rPr>
                <w:sz w:val="18"/>
              </w:rPr>
            </w:pPr>
          </w:p>
          <w:p w:rsidR="005927AA" w:rsidRPr="00292C87" w:rsidRDefault="005927AA" w:rsidP="00706F03">
            <w:pPr>
              <w:tabs>
                <w:tab w:val="left" w:pos="1014"/>
                <w:tab w:val="left" w:pos="4111"/>
              </w:tabs>
              <w:rPr>
                <w:sz w:val="18"/>
              </w:rPr>
            </w:pPr>
            <w:r w:rsidRPr="00292C87">
              <w:rPr>
                <w:sz w:val="18"/>
              </w:rPr>
              <w:t>Fees to be claimed from DoES</w:t>
            </w:r>
            <w:r w:rsidR="00766DF1">
              <w:rPr>
                <w:sz w:val="18"/>
              </w:rPr>
              <w:t xml:space="preserve"> in current year</w:t>
            </w:r>
            <w:r w:rsidRPr="00292C87">
              <w:rPr>
                <w:sz w:val="18"/>
              </w:rPr>
              <w:t>:</w:t>
            </w:r>
            <w:r w:rsidRPr="00292C87">
              <w:rPr>
                <w:sz w:val="18"/>
              </w:rPr>
              <w:tab/>
            </w:r>
            <w:r w:rsidRPr="00292C8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C87">
              <w:rPr>
                <w:sz w:val="18"/>
              </w:rPr>
              <w:instrText xml:space="preserve"> FORMCHECKBOX </w:instrText>
            </w:r>
            <w:r w:rsidR="00C54740">
              <w:rPr>
                <w:sz w:val="18"/>
              </w:rPr>
            </w:r>
            <w:r w:rsidR="00C54740">
              <w:rPr>
                <w:sz w:val="18"/>
              </w:rPr>
              <w:fldChar w:fldCharType="separate"/>
            </w:r>
            <w:r w:rsidRPr="00292C87">
              <w:rPr>
                <w:sz w:val="18"/>
              </w:rPr>
              <w:fldChar w:fldCharType="end"/>
            </w:r>
            <w:r w:rsidRPr="00292C87">
              <w:rPr>
                <w:sz w:val="18"/>
              </w:rPr>
              <w:t xml:space="preserve">  Full Year</w:t>
            </w:r>
          </w:p>
          <w:p w:rsidR="005927AA" w:rsidRPr="00292C87" w:rsidRDefault="005927AA" w:rsidP="00706F03">
            <w:pPr>
              <w:tabs>
                <w:tab w:val="left" w:pos="4111"/>
              </w:tabs>
              <w:rPr>
                <w:sz w:val="18"/>
              </w:rPr>
            </w:pPr>
            <w:r w:rsidRPr="00292C87">
              <w:rPr>
                <w:sz w:val="18"/>
              </w:rPr>
              <w:tab/>
            </w:r>
            <w:r w:rsidRPr="00292C8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C87">
              <w:rPr>
                <w:sz w:val="18"/>
              </w:rPr>
              <w:instrText xml:space="preserve"> FORMCHECKBOX </w:instrText>
            </w:r>
            <w:r w:rsidR="00C54740">
              <w:rPr>
                <w:sz w:val="18"/>
              </w:rPr>
            </w:r>
            <w:r w:rsidR="00C54740">
              <w:rPr>
                <w:sz w:val="18"/>
              </w:rPr>
              <w:fldChar w:fldCharType="separate"/>
            </w:r>
            <w:r w:rsidRPr="00292C87">
              <w:rPr>
                <w:sz w:val="18"/>
              </w:rPr>
              <w:fldChar w:fldCharType="end"/>
            </w:r>
            <w:r w:rsidRPr="00292C87">
              <w:rPr>
                <w:sz w:val="18"/>
              </w:rPr>
              <w:t xml:space="preserve">  Half Year</w:t>
            </w:r>
          </w:p>
          <w:p w:rsidR="00706F03" w:rsidRPr="00292C87" w:rsidRDefault="00706F03" w:rsidP="00706F03">
            <w:pPr>
              <w:tabs>
                <w:tab w:val="left" w:pos="4111"/>
              </w:tabs>
              <w:rPr>
                <w:sz w:val="18"/>
              </w:rPr>
            </w:pPr>
          </w:p>
          <w:p w:rsidR="005927AA" w:rsidRPr="00292C87" w:rsidRDefault="005927AA" w:rsidP="00706F03">
            <w:pPr>
              <w:tabs>
                <w:tab w:val="left" w:pos="1014"/>
                <w:tab w:val="left" w:pos="4111"/>
              </w:tabs>
              <w:rPr>
                <w:sz w:val="18"/>
              </w:rPr>
            </w:pPr>
            <w:r w:rsidRPr="00292C87">
              <w:rPr>
                <w:sz w:val="18"/>
              </w:rPr>
              <w:t>Rate Code to be applied on student return:</w:t>
            </w:r>
            <w:r w:rsidRPr="00292C87">
              <w:rPr>
                <w:sz w:val="18"/>
              </w:rPr>
              <w:tab/>
              <w:t>________________</w:t>
            </w:r>
          </w:p>
          <w:p w:rsidR="00706F03" w:rsidRPr="00292C87" w:rsidRDefault="00706F03" w:rsidP="00706F03">
            <w:pPr>
              <w:tabs>
                <w:tab w:val="left" w:pos="1014"/>
                <w:tab w:val="left" w:pos="4111"/>
              </w:tabs>
              <w:rPr>
                <w:b/>
                <w:sz w:val="18"/>
              </w:rPr>
            </w:pPr>
          </w:p>
        </w:tc>
      </w:tr>
    </w:tbl>
    <w:p w:rsidR="004D0393" w:rsidRDefault="004D0393">
      <w:r>
        <w:br w:type="page"/>
      </w:r>
    </w:p>
    <w:p w:rsidR="002C16D5" w:rsidRPr="002C16D5" w:rsidRDefault="002C16D5" w:rsidP="00652DE2">
      <w:pPr>
        <w:shd w:val="clear" w:color="auto" w:fill="AEAAAA" w:themeFill="background2" w:themeFillShade="BF"/>
        <w:spacing w:after="0" w:line="360" w:lineRule="auto"/>
        <w:jc w:val="both"/>
        <w:rPr>
          <w:b/>
          <w:sz w:val="20"/>
          <w:szCs w:val="20"/>
        </w:rPr>
      </w:pPr>
      <w:r w:rsidRPr="002C16D5">
        <w:rPr>
          <w:b/>
          <w:sz w:val="20"/>
          <w:szCs w:val="20"/>
        </w:rPr>
        <w:lastRenderedPageBreak/>
        <w:t>What is a Deferral?</w:t>
      </w:r>
    </w:p>
    <w:p w:rsidR="00706F03" w:rsidRPr="00E06C45" w:rsidRDefault="00706F03" w:rsidP="001E2711">
      <w:pPr>
        <w:spacing w:after="0" w:line="360" w:lineRule="auto"/>
        <w:jc w:val="both"/>
        <w:rPr>
          <w:rFonts w:eastAsia="Times New Roman"/>
          <w:sz w:val="18"/>
          <w:szCs w:val="18"/>
        </w:rPr>
      </w:pPr>
      <w:r w:rsidRPr="00E06C45">
        <w:rPr>
          <w:sz w:val="18"/>
          <w:szCs w:val="18"/>
        </w:rPr>
        <w:t xml:space="preserve">A deferral is where a student, due to exceptional circumstances beyond their control, formally withdraws from the course they are </w:t>
      </w:r>
      <w:r w:rsidR="006C1157">
        <w:rPr>
          <w:sz w:val="18"/>
          <w:szCs w:val="18"/>
        </w:rPr>
        <w:t>registered on</w:t>
      </w:r>
      <w:r w:rsidRPr="00E06C45">
        <w:rPr>
          <w:sz w:val="18"/>
          <w:szCs w:val="18"/>
        </w:rPr>
        <w:t>, with the intention of returning the following academic year</w:t>
      </w:r>
      <w:r w:rsidR="001E2711">
        <w:rPr>
          <w:sz w:val="18"/>
          <w:szCs w:val="18"/>
        </w:rPr>
        <w:t xml:space="preserve">.  </w:t>
      </w:r>
      <w:r w:rsidRPr="00E06C45">
        <w:rPr>
          <w:sz w:val="18"/>
          <w:szCs w:val="18"/>
        </w:rPr>
        <w:t>Exceptional circumstances can include, but a</w:t>
      </w:r>
      <w:r w:rsidR="001E2711">
        <w:rPr>
          <w:sz w:val="18"/>
          <w:szCs w:val="18"/>
        </w:rPr>
        <w:t>re not limited to the following</w:t>
      </w:r>
      <w:r w:rsidR="007D5AA2">
        <w:rPr>
          <w:sz w:val="18"/>
          <w:szCs w:val="18"/>
        </w:rPr>
        <w:t xml:space="preserve"> - </w:t>
      </w:r>
      <w:r w:rsidR="001E2711">
        <w:rPr>
          <w:rFonts w:eastAsia="Times New Roman"/>
          <w:sz w:val="18"/>
          <w:szCs w:val="18"/>
        </w:rPr>
        <w:t>Medical condition, s</w:t>
      </w:r>
      <w:r w:rsidRPr="00E06C45">
        <w:rPr>
          <w:rFonts w:eastAsia="Times New Roman"/>
          <w:sz w:val="18"/>
          <w:szCs w:val="18"/>
        </w:rPr>
        <w:t>ignificant financial difficulties</w:t>
      </w:r>
      <w:r w:rsidR="001E2711">
        <w:rPr>
          <w:rFonts w:eastAsia="Times New Roman"/>
          <w:sz w:val="18"/>
          <w:szCs w:val="18"/>
        </w:rPr>
        <w:t xml:space="preserve">, </w:t>
      </w:r>
      <w:r w:rsidR="007D5AA2">
        <w:rPr>
          <w:rFonts w:eastAsia="Times New Roman"/>
          <w:sz w:val="18"/>
          <w:szCs w:val="18"/>
        </w:rPr>
        <w:t>b</w:t>
      </w:r>
      <w:r w:rsidRPr="00E06C45">
        <w:rPr>
          <w:rFonts w:eastAsia="Times New Roman"/>
          <w:sz w:val="18"/>
          <w:szCs w:val="18"/>
        </w:rPr>
        <w:t>ereavement in family</w:t>
      </w:r>
      <w:r w:rsidR="001E2711">
        <w:rPr>
          <w:rFonts w:eastAsia="Times New Roman"/>
          <w:sz w:val="18"/>
          <w:szCs w:val="18"/>
        </w:rPr>
        <w:t xml:space="preserve"> etc</w:t>
      </w:r>
    </w:p>
    <w:p w:rsidR="00706F03" w:rsidRDefault="00706F03" w:rsidP="00706F03">
      <w:pPr>
        <w:spacing w:after="0" w:line="360" w:lineRule="auto"/>
        <w:rPr>
          <w:sz w:val="20"/>
          <w:szCs w:val="20"/>
        </w:rPr>
      </w:pPr>
    </w:p>
    <w:p w:rsidR="001E2711" w:rsidRPr="001E2711" w:rsidRDefault="001E2711" w:rsidP="001E2711">
      <w:pPr>
        <w:spacing w:after="0" w:line="360" w:lineRule="auto"/>
        <w:jc w:val="both"/>
        <w:rPr>
          <w:sz w:val="18"/>
          <w:szCs w:val="18"/>
        </w:rPr>
      </w:pPr>
      <w:r w:rsidRPr="001E2711">
        <w:rPr>
          <w:sz w:val="18"/>
          <w:szCs w:val="18"/>
        </w:rPr>
        <w:t xml:space="preserve">Applicants should note however, that LYIT cannot guarantee that a programme from which a student </w:t>
      </w:r>
      <w:r w:rsidR="007D5AA2">
        <w:rPr>
          <w:sz w:val="18"/>
          <w:szCs w:val="18"/>
        </w:rPr>
        <w:t>defers</w:t>
      </w:r>
      <w:r w:rsidRPr="001E2711">
        <w:rPr>
          <w:sz w:val="18"/>
          <w:szCs w:val="18"/>
        </w:rPr>
        <w:t xml:space="preserve"> will necessarily be re-run, or that it will run in identical format,  in subsequent years.  Returning students may be required to resume their studies within an altered programme forma</w:t>
      </w:r>
      <w:r w:rsidR="007D5AA2">
        <w:rPr>
          <w:sz w:val="18"/>
          <w:szCs w:val="18"/>
        </w:rPr>
        <w:t>t</w:t>
      </w:r>
      <w:r w:rsidRPr="001E2711">
        <w:rPr>
          <w:sz w:val="18"/>
          <w:szCs w:val="18"/>
        </w:rPr>
        <w:t xml:space="preserve">.  If the course from which they have </w:t>
      </w:r>
      <w:r w:rsidR="007D5AA2">
        <w:rPr>
          <w:sz w:val="18"/>
          <w:szCs w:val="18"/>
        </w:rPr>
        <w:t>deferred</w:t>
      </w:r>
      <w:r w:rsidRPr="001E2711">
        <w:rPr>
          <w:sz w:val="18"/>
          <w:szCs w:val="18"/>
        </w:rPr>
        <w:t xml:space="preserve"> is discontinued they may be offered a place on a related programme </w:t>
      </w:r>
      <w:r w:rsidR="007D5AA2">
        <w:rPr>
          <w:sz w:val="18"/>
          <w:szCs w:val="18"/>
        </w:rPr>
        <w:t>and/or</w:t>
      </w:r>
      <w:r w:rsidRPr="001E2711">
        <w:rPr>
          <w:sz w:val="18"/>
          <w:szCs w:val="18"/>
        </w:rPr>
        <w:t xml:space="preserve"> be required to undertake some bridging studies </w:t>
      </w:r>
      <w:r w:rsidR="007D5AA2">
        <w:rPr>
          <w:sz w:val="18"/>
          <w:szCs w:val="18"/>
        </w:rPr>
        <w:t xml:space="preserve">to </w:t>
      </w:r>
      <w:r w:rsidR="00C62F12">
        <w:rPr>
          <w:sz w:val="18"/>
          <w:szCs w:val="18"/>
        </w:rPr>
        <w:t xml:space="preserve">make </w:t>
      </w:r>
      <w:r w:rsidRPr="001E2711">
        <w:rPr>
          <w:sz w:val="18"/>
          <w:szCs w:val="18"/>
        </w:rPr>
        <w:t>up for any missed pre-requisites.</w:t>
      </w:r>
    </w:p>
    <w:p w:rsidR="00652DE2" w:rsidRPr="00706F03" w:rsidRDefault="00652DE2" w:rsidP="00706F03">
      <w:pPr>
        <w:spacing w:after="0" w:line="360" w:lineRule="auto"/>
        <w:rPr>
          <w:sz w:val="20"/>
          <w:szCs w:val="20"/>
        </w:rPr>
      </w:pPr>
    </w:p>
    <w:p w:rsidR="00706F03" w:rsidRPr="00706F03" w:rsidRDefault="00706F03" w:rsidP="00652DE2">
      <w:pPr>
        <w:shd w:val="clear" w:color="auto" w:fill="AEAAAA" w:themeFill="background2" w:themeFillShade="BF"/>
        <w:spacing w:after="0" w:line="360" w:lineRule="auto"/>
        <w:rPr>
          <w:b/>
          <w:sz w:val="20"/>
          <w:szCs w:val="20"/>
        </w:rPr>
      </w:pPr>
      <w:r w:rsidRPr="00706F03">
        <w:rPr>
          <w:b/>
          <w:sz w:val="20"/>
          <w:szCs w:val="20"/>
        </w:rPr>
        <w:t>Deferral Procedures</w:t>
      </w:r>
    </w:p>
    <w:p w:rsidR="001E2711" w:rsidRDefault="00706F03" w:rsidP="002C16D5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 w:rsidRPr="00E06C45">
        <w:rPr>
          <w:sz w:val="18"/>
          <w:szCs w:val="18"/>
        </w:rPr>
        <w:t xml:space="preserve">Students seeking a deferral must </w:t>
      </w:r>
      <w:r w:rsidR="001E2711">
        <w:rPr>
          <w:sz w:val="18"/>
          <w:szCs w:val="18"/>
        </w:rPr>
        <w:t>complete this</w:t>
      </w:r>
      <w:r w:rsidRPr="00E06C45">
        <w:rPr>
          <w:sz w:val="18"/>
          <w:szCs w:val="18"/>
        </w:rPr>
        <w:t xml:space="preserve"> Application Form</w:t>
      </w:r>
      <w:r w:rsidR="001E2711">
        <w:rPr>
          <w:sz w:val="18"/>
          <w:szCs w:val="18"/>
        </w:rPr>
        <w:t>.</w:t>
      </w:r>
    </w:p>
    <w:p w:rsidR="00706F03" w:rsidRDefault="001E2711" w:rsidP="002C16D5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The form must be submitted with supporting evidential documentation </w:t>
      </w:r>
      <w:r w:rsidR="000357DB">
        <w:rPr>
          <w:sz w:val="18"/>
          <w:szCs w:val="18"/>
        </w:rPr>
        <w:t xml:space="preserve">(if applicable) </w:t>
      </w:r>
      <w:r>
        <w:rPr>
          <w:sz w:val="18"/>
          <w:szCs w:val="18"/>
        </w:rPr>
        <w:t xml:space="preserve">to the relevant HoD, who must co-sign the form in order to indicate their approval.  </w:t>
      </w:r>
    </w:p>
    <w:p w:rsidR="001E2711" w:rsidRPr="00292C87" w:rsidRDefault="001E2711" w:rsidP="002C16D5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 w:rsidRPr="00292C87">
        <w:rPr>
          <w:sz w:val="18"/>
          <w:szCs w:val="18"/>
        </w:rPr>
        <w:t xml:space="preserve">Student should submit the approved </w:t>
      </w:r>
      <w:r w:rsidR="00766DF1">
        <w:rPr>
          <w:sz w:val="18"/>
          <w:szCs w:val="18"/>
        </w:rPr>
        <w:t>form to the Admissions Office.</w:t>
      </w:r>
    </w:p>
    <w:p w:rsidR="00292C87" w:rsidRPr="00292C87" w:rsidRDefault="00766DF1" w:rsidP="00292C87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F</w:t>
      </w:r>
      <w:r w:rsidR="00292C87" w:rsidRPr="00292C87">
        <w:rPr>
          <w:sz w:val="18"/>
          <w:szCs w:val="18"/>
        </w:rPr>
        <w:t xml:space="preserve">ees and refunds </w:t>
      </w:r>
      <w:proofErr w:type="gramStart"/>
      <w:r w:rsidR="00292C87" w:rsidRPr="00292C87">
        <w:rPr>
          <w:sz w:val="18"/>
          <w:szCs w:val="18"/>
        </w:rPr>
        <w:t>are calculated</w:t>
      </w:r>
      <w:proofErr w:type="gramEnd"/>
      <w:r w:rsidR="00292C87" w:rsidRPr="00292C87">
        <w:rPr>
          <w:sz w:val="18"/>
          <w:szCs w:val="18"/>
        </w:rPr>
        <w:t xml:space="preserve"> based on the date </w:t>
      </w:r>
      <w:r>
        <w:rPr>
          <w:sz w:val="18"/>
          <w:szCs w:val="18"/>
        </w:rPr>
        <w:t>of Head of Department approval.</w:t>
      </w:r>
      <w:r w:rsidR="00292C87" w:rsidRPr="00292C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</w:t>
      </w:r>
      <w:r w:rsidR="00292C87" w:rsidRPr="00292C87">
        <w:rPr>
          <w:sz w:val="18"/>
          <w:szCs w:val="18"/>
        </w:rPr>
        <w:t xml:space="preserve">t is important that </w:t>
      </w:r>
      <w:r>
        <w:rPr>
          <w:sz w:val="18"/>
          <w:szCs w:val="18"/>
        </w:rPr>
        <w:t xml:space="preserve">requests for deferral </w:t>
      </w:r>
      <w:proofErr w:type="gramStart"/>
      <w:r w:rsidR="00292C87" w:rsidRPr="00292C87">
        <w:rPr>
          <w:sz w:val="18"/>
          <w:szCs w:val="18"/>
        </w:rPr>
        <w:t>are</w:t>
      </w:r>
      <w:proofErr w:type="gramEnd"/>
      <w:r w:rsidR="00292C87" w:rsidRPr="00292C87">
        <w:rPr>
          <w:sz w:val="18"/>
          <w:szCs w:val="18"/>
        </w:rPr>
        <w:t xml:space="preserve"> submitted promptly to </w:t>
      </w:r>
      <w:r w:rsidR="000357DB">
        <w:rPr>
          <w:sz w:val="18"/>
          <w:szCs w:val="18"/>
        </w:rPr>
        <w:t>Admissions</w:t>
      </w:r>
      <w:r w:rsidR="00292C87" w:rsidRPr="00292C87">
        <w:rPr>
          <w:sz w:val="18"/>
          <w:szCs w:val="18"/>
        </w:rPr>
        <w:t xml:space="preserve"> once completed and co-signed by the HoD. </w:t>
      </w:r>
    </w:p>
    <w:p w:rsidR="00292C87" w:rsidRPr="000357DB" w:rsidRDefault="00292C87" w:rsidP="003F646C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 w:rsidRPr="000357DB">
        <w:rPr>
          <w:sz w:val="18"/>
          <w:szCs w:val="18"/>
        </w:rPr>
        <w:lastRenderedPageBreak/>
        <w:t xml:space="preserve">The Admissions Office will </w:t>
      </w:r>
      <w:r w:rsidR="00C54740">
        <w:rPr>
          <w:sz w:val="18"/>
          <w:szCs w:val="18"/>
        </w:rPr>
        <w:t>contact the student in advance of the next academic year.</w:t>
      </w:r>
    </w:p>
    <w:p w:rsidR="00292C87" w:rsidRPr="00E06C45" w:rsidRDefault="00292C87" w:rsidP="00292C87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 w:rsidRPr="00292C87">
        <w:rPr>
          <w:sz w:val="18"/>
          <w:szCs w:val="18"/>
        </w:rPr>
        <w:t>Students must contact</w:t>
      </w:r>
      <w:r w:rsidRPr="00E06C45">
        <w:rPr>
          <w:sz w:val="18"/>
          <w:szCs w:val="18"/>
        </w:rPr>
        <w:t xml:space="preserve"> the Admissions Office prior to returning to confirm their intention to return.</w:t>
      </w:r>
    </w:p>
    <w:p w:rsidR="00652DE2" w:rsidRPr="00706F03" w:rsidRDefault="00652DE2" w:rsidP="00706F03">
      <w:pPr>
        <w:spacing w:after="0" w:line="360" w:lineRule="auto"/>
        <w:rPr>
          <w:sz w:val="20"/>
          <w:szCs w:val="20"/>
        </w:rPr>
      </w:pPr>
    </w:p>
    <w:p w:rsidR="00706F03" w:rsidRPr="002C16D5" w:rsidRDefault="00706F03" w:rsidP="00652DE2">
      <w:pPr>
        <w:shd w:val="clear" w:color="auto" w:fill="AEAAAA" w:themeFill="background2" w:themeFillShade="BF"/>
        <w:spacing w:after="0" w:line="360" w:lineRule="auto"/>
        <w:rPr>
          <w:b/>
          <w:sz w:val="20"/>
          <w:szCs w:val="20"/>
        </w:rPr>
      </w:pPr>
      <w:r w:rsidRPr="002C16D5">
        <w:rPr>
          <w:b/>
          <w:sz w:val="20"/>
          <w:szCs w:val="20"/>
        </w:rPr>
        <w:t>Fees and Grants</w:t>
      </w:r>
    </w:p>
    <w:p w:rsidR="002C16D5" w:rsidRPr="004D0393" w:rsidRDefault="002C16D5" w:rsidP="004D0393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  <w:sz w:val="18"/>
          <w:szCs w:val="18"/>
        </w:rPr>
      </w:pPr>
      <w:r w:rsidRPr="004D0393">
        <w:rPr>
          <w:rFonts w:cstheme="minorHAnsi"/>
          <w:sz w:val="18"/>
          <w:szCs w:val="18"/>
        </w:rPr>
        <w:t>Students are liable for fees for the period of registration up to the date they officially defer.  Students who defer will be liable for the following fees:</w:t>
      </w:r>
    </w:p>
    <w:p w:rsidR="002C16D5" w:rsidRPr="00652DE2" w:rsidRDefault="002C16D5" w:rsidP="008977B4">
      <w:pPr>
        <w:pStyle w:val="ListParagraph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theme="minorHAnsi"/>
          <w:b/>
          <w:sz w:val="18"/>
          <w:szCs w:val="18"/>
        </w:rPr>
      </w:pPr>
      <w:r w:rsidRPr="00652DE2">
        <w:rPr>
          <w:rFonts w:cstheme="minorHAnsi"/>
          <w:sz w:val="18"/>
          <w:szCs w:val="18"/>
        </w:rPr>
        <w:t xml:space="preserve">Defer </w:t>
      </w:r>
      <w:r w:rsidRPr="00652DE2">
        <w:rPr>
          <w:rFonts w:cstheme="minorHAnsi"/>
          <w:b/>
          <w:sz w:val="18"/>
          <w:szCs w:val="18"/>
        </w:rPr>
        <w:t xml:space="preserve">before </w:t>
      </w:r>
      <w:r w:rsidR="00C54740">
        <w:rPr>
          <w:rFonts w:cstheme="minorHAnsi"/>
          <w:b/>
          <w:sz w:val="18"/>
          <w:szCs w:val="18"/>
        </w:rPr>
        <w:t>3</w:t>
      </w:r>
      <w:r w:rsidRPr="00652DE2">
        <w:rPr>
          <w:rFonts w:cstheme="minorHAnsi"/>
          <w:b/>
          <w:sz w:val="18"/>
          <w:szCs w:val="18"/>
        </w:rPr>
        <w:t>1 October</w:t>
      </w:r>
      <w:r w:rsidRPr="00652DE2">
        <w:rPr>
          <w:rFonts w:cstheme="minorHAnsi"/>
          <w:sz w:val="18"/>
          <w:szCs w:val="18"/>
        </w:rPr>
        <w:t xml:space="preserve"> –Zero liability.  When the student subsequently returns to LYIT, the student will be liable for </w:t>
      </w:r>
      <w:r w:rsidR="00292C87">
        <w:rPr>
          <w:rFonts w:cstheme="minorHAnsi"/>
          <w:sz w:val="18"/>
          <w:szCs w:val="18"/>
        </w:rPr>
        <w:t>the full fee.</w:t>
      </w:r>
    </w:p>
    <w:p w:rsidR="002C16D5" w:rsidRPr="00652DE2" w:rsidRDefault="002C16D5" w:rsidP="008977B4">
      <w:pPr>
        <w:pStyle w:val="ListParagraph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theme="minorHAnsi"/>
          <w:b/>
          <w:sz w:val="18"/>
          <w:szCs w:val="18"/>
        </w:rPr>
      </w:pPr>
      <w:r w:rsidRPr="00652DE2">
        <w:rPr>
          <w:rFonts w:cstheme="minorHAnsi"/>
          <w:sz w:val="18"/>
          <w:szCs w:val="18"/>
        </w:rPr>
        <w:t xml:space="preserve">Defer between </w:t>
      </w:r>
      <w:r w:rsidRPr="00652DE2">
        <w:rPr>
          <w:rFonts w:cstheme="minorHAnsi"/>
          <w:b/>
          <w:sz w:val="18"/>
          <w:szCs w:val="18"/>
        </w:rPr>
        <w:t>1 November and 31 January</w:t>
      </w:r>
      <w:r w:rsidRPr="00652DE2">
        <w:rPr>
          <w:rFonts w:cstheme="minorHAnsi"/>
          <w:sz w:val="18"/>
          <w:szCs w:val="18"/>
        </w:rPr>
        <w:t xml:space="preserve"> – student liable for 50% of </w:t>
      </w:r>
      <w:r w:rsidR="00292C87">
        <w:rPr>
          <w:rFonts w:cstheme="minorHAnsi"/>
          <w:sz w:val="18"/>
          <w:szCs w:val="18"/>
        </w:rPr>
        <w:t>the relevant fee</w:t>
      </w:r>
      <w:r w:rsidRPr="00652DE2">
        <w:rPr>
          <w:rFonts w:cstheme="minorHAnsi"/>
          <w:sz w:val="18"/>
          <w:szCs w:val="18"/>
        </w:rPr>
        <w:t xml:space="preserve">.  When the student subsequently returns to LYIT, the student will </w:t>
      </w:r>
      <w:r w:rsidR="00292C87">
        <w:rPr>
          <w:rFonts w:cstheme="minorHAnsi"/>
          <w:sz w:val="18"/>
          <w:szCs w:val="18"/>
        </w:rPr>
        <w:t>be liable for the remaining 50%.</w:t>
      </w:r>
    </w:p>
    <w:p w:rsidR="002C16D5" w:rsidRPr="00652DE2" w:rsidRDefault="002C16D5" w:rsidP="008977B4">
      <w:pPr>
        <w:pStyle w:val="ListParagraph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theme="minorHAnsi"/>
          <w:sz w:val="18"/>
          <w:szCs w:val="18"/>
        </w:rPr>
      </w:pPr>
      <w:r w:rsidRPr="00652DE2">
        <w:rPr>
          <w:rFonts w:cstheme="minorHAnsi"/>
          <w:sz w:val="18"/>
          <w:szCs w:val="18"/>
        </w:rPr>
        <w:t xml:space="preserve">Defer </w:t>
      </w:r>
      <w:r w:rsidRPr="00652DE2">
        <w:rPr>
          <w:rFonts w:cstheme="minorHAnsi"/>
          <w:b/>
          <w:sz w:val="18"/>
          <w:szCs w:val="18"/>
        </w:rPr>
        <w:t>after 31 January</w:t>
      </w:r>
      <w:r w:rsidRPr="00652DE2">
        <w:rPr>
          <w:rFonts w:cstheme="minorHAnsi"/>
          <w:sz w:val="18"/>
          <w:szCs w:val="18"/>
        </w:rPr>
        <w:t xml:space="preserve"> – student liable for 100% of </w:t>
      </w:r>
      <w:r w:rsidR="00292C87">
        <w:rPr>
          <w:rFonts w:cstheme="minorHAnsi"/>
          <w:sz w:val="18"/>
          <w:szCs w:val="18"/>
        </w:rPr>
        <w:t>the relevant fee</w:t>
      </w:r>
      <w:r w:rsidRPr="00652DE2">
        <w:rPr>
          <w:rFonts w:cstheme="minorHAnsi"/>
          <w:sz w:val="18"/>
          <w:szCs w:val="18"/>
        </w:rPr>
        <w:t xml:space="preserve">.  </w:t>
      </w:r>
      <w:r w:rsidR="00E06C45" w:rsidRPr="00652DE2">
        <w:rPr>
          <w:rFonts w:cstheme="minorHAnsi"/>
          <w:sz w:val="18"/>
          <w:szCs w:val="18"/>
        </w:rPr>
        <w:t>When</w:t>
      </w:r>
      <w:r w:rsidRPr="00652DE2">
        <w:rPr>
          <w:rFonts w:cstheme="minorHAnsi"/>
          <w:sz w:val="18"/>
          <w:szCs w:val="18"/>
        </w:rPr>
        <w:t xml:space="preserve"> the student subsequently returns to LYIT, they will have zero liability for that year</w:t>
      </w:r>
      <w:r w:rsidR="00E06C45" w:rsidRPr="00652DE2">
        <w:rPr>
          <w:rFonts w:cstheme="minorHAnsi"/>
          <w:sz w:val="18"/>
          <w:szCs w:val="18"/>
        </w:rPr>
        <w:t>.</w:t>
      </w:r>
    </w:p>
    <w:p w:rsidR="00E06C45" w:rsidRPr="00652DE2" w:rsidRDefault="00E06C45" w:rsidP="008977B4">
      <w:pPr>
        <w:pStyle w:val="ListParagraph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theme="minorHAnsi"/>
          <w:sz w:val="18"/>
          <w:szCs w:val="18"/>
        </w:rPr>
      </w:pPr>
      <w:r w:rsidRPr="00652DE2">
        <w:rPr>
          <w:rFonts w:cstheme="minorHAnsi"/>
          <w:sz w:val="18"/>
          <w:szCs w:val="18"/>
        </w:rPr>
        <w:t>Non-EU students who defer after</w:t>
      </w:r>
      <w:r w:rsidRPr="00652DE2">
        <w:rPr>
          <w:rFonts w:cstheme="minorHAnsi"/>
          <w:b/>
          <w:sz w:val="18"/>
          <w:szCs w:val="18"/>
        </w:rPr>
        <w:t xml:space="preserve"> 31 October</w:t>
      </w:r>
      <w:r w:rsidRPr="00652DE2">
        <w:rPr>
          <w:rFonts w:cstheme="minorHAnsi"/>
          <w:sz w:val="18"/>
          <w:szCs w:val="18"/>
        </w:rPr>
        <w:t xml:space="preserve"> will be liable for 100% of the Non-EU fee.  When the student subsequently returns they will have zero liability for that year</w:t>
      </w:r>
    </w:p>
    <w:p w:rsidR="008977B4" w:rsidRDefault="008977B4" w:rsidP="008977B4">
      <w:pPr>
        <w:pStyle w:val="ListParagraph"/>
        <w:spacing w:after="0" w:line="360" w:lineRule="auto"/>
        <w:ind w:left="420"/>
        <w:rPr>
          <w:rFonts w:cstheme="minorHAnsi"/>
          <w:sz w:val="18"/>
          <w:szCs w:val="20"/>
        </w:rPr>
      </w:pPr>
    </w:p>
    <w:p w:rsidR="00562D39" w:rsidRDefault="00706F03" w:rsidP="004D0393">
      <w:pPr>
        <w:pStyle w:val="ListParagraph"/>
        <w:numPr>
          <w:ilvl w:val="0"/>
          <w:numId w:val="6"/>
        </w:numPr>
        <w:spacing w:after="0" w:line="360" w:lineRule="auto"/>
        <w:ind w:left="420" w:hanging="420"/>
        <w:rPr>
          <w:rFonts w:cstheme="minorHAnsi"/>
          <w:sz w:val="18"/>
          <w:szCs w:val="20"/>
        </w:rPr>
      </w:pPr>
      <w:r w:rsidRPr="004D0393">
        <w:rPr>
          <w:rFonts w:cstheme="minorHAnsi"/>
          <w:sz w:val="18"/>
          <w:szCs w:val="20"/>
        </w:rPr>
        <w:t xml:space="preserve">Fees may increase annually.  Where a fee increases, the </w:t>
      </w:r>
      <w:r w:rsidR="006C1157">
        <w:rPr>
          <w:rFonts w:cstheme="minorHAnsi"/>
          <w:sz w:val="18"/>
          <w:szCs w:val="20"/>
        </w:rPr>
        <w:t xml:space="preserve">remaining percentage owed will be calculated on the </w:t>
      </w:r>
      <w:r w:rsidR="00DA7C22">
        <w:rPr>
          <w:rFonts w:cstheme="minorHAnsi"/>
          <w:sz w:val="18"/>
          <w:szCs w:val="20"/>
        </w:rPr>
        <w:t>increased fee.</w:t>
      </w:r>
      <w:r w:rsidRPr="004D0393">
        <w:rPr>
          <w:rFonts w:cstheme="minorHAnsi"/>
          <w:sz w:val="18"/>
          <w:szCs w:val="20"/>
        </w:rPr>
        <w:t> </w:t>
      </w:r>
    </w:p>
    <w:p w:rsidR="008977B4" w:rsidRPr="008977B4" w:rsidRDefault="00706F03" w:rsidP="008977B4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  <w:sz w:val="18"/>
          <w:szCs w:val="20"/>
        </w:rPr>
      </w:pPr>
      <w:r w:rsidRPr="008977B4">
        <w:rPr>
          <w:rFonts w:cstheme="minorHAnsi"/>
          <w:sz w:val="18"/>
          <w:szCs w:val="20"/>
        </w:rPr>
        <w:t xml:space="preserve">Students in receipt of a grant should contact the awarding authority to inform them of the deferral.  </w:t>
      </w:r>
      <w:r w:rsidR="008977B4" w:rsidRPr="008977B4">
        <w:rPr>
          <w:rFonts w:cstheme="minorHAnsi"/>
          <w:sz w:val="18"/>
          <w:szCs w:val="20"/>
        </w:rPr>
        <w:t xml:space="preserve">Failure to do so may impact on their eligibility for grants in subsequent years. </w:t>
      </w:r>
    </w:p>
    <w:p w:rsidR="00706F03" w:rsidRPr="008977B4" w:rsidRDefault="008977B4" w:rsidP="008977B4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  <w:sz w:val="18"/>
          <w:szCs w:val="20"/>
        </w:rPr>
      </w:pPr>
      <w:r w:rsidRPr="008977B4">
        <w:rPr>
          <w:rFonts w:cstheme="minorHAnsi"/>
          <w:sz w:val="18"/>
          <w:szCs w:val="20"/>
        </w:rPr>
        <w:t xml:space="preserve">Applicants should also be aware that regulations in relation to grants and/or their own means or other circumstances may change during the period of </w:t>
      </w:r>
      <w:r w:rsidR="007073A4">
        <w:rPr>
          <w:rFonts w:cstheme="minorHAnsi"/>
          <w:sz w:val="18"/>
          <w:szCs w:val="20"/>
        </w:rPr>
        <w:t>deferral</w:t>
      </w:r>
      <w:r w:rsidRPr="008977B4">
        <w:rPr>
          <w:rFonts w:cstheme="minorHAnsi"/>
          <w:sz w:val="18"/>
          <w:szCs w:val="20"/>
        </w:rPr>
        <w:t xml:space="preserve">.  Therefore a SUSI </w:t>
      </w:r>
      <w:r w:rsidRPr="008977B4">
        <w:rPr>
          <w:rFonts w:cstheme="minorHAnsi"/>
          <w:sz w:val="18"/>
          <w:szCs w:val="20"/>
        </w:rPr>
        <w:lastRenderedPageBreak/>
        <w:t xml:space="preserve">grant offered in the current year may not be available, or may not be available </w:t>
      </w:r>
      <w:r w:rsidR="007073A4">
        <w:rPr>
          <w:rFonts w:cstheme="minorHAnsi"/>
          <w:sz w:val="18"/>
          <w:szCs w:val="20"/>
        </w:rPr>
        <w:t>for</w:t>
      </w:r>
      <w:r w:rsidRPr="008977B4">
        <w:rPr>
          <w:rFonts w:cstheme="minorHAnsi"/>
          <w:sz w:val="18"/>
          <w:szCs w:val="20"/>
        </w:rPr>
        <w:t xml:space="preserve"> the same amount in a subsequent year.</w:t>
      </w:r>
    </w:p>
    <w:p w:rsidR="00652DE2" w:rsidRDefault="00652DE2" w:rsidP="00706F03">
      <w:pPr>
        <w:spacing w:after="0" w:line="360" w:lineRule="auto"/>
        <w:rPr>
          <w:rFonts w:cstheme="minorHAnsi"/>
          <w:sz w:val="18"/>
          <w:szCs w:val="20"/>
        </w:rPr>
      </w:pPr>
    </w:p>
    <w:p w:rsidR="00652DE2" w:rsidRPr="002C16D5" w:rsidRDefault="00652DE2" w:rsidP="00652DE2">
      <w:pPr>
        <w:shd w:val="clear" w:color="auto" w:fill="AEAAAA" w:themeFill="background2" w:themeFillShade="BF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Closing date and Further Information</w:t>
      </w:r>
    </w:p>
    <w:p w:rsidR="00652DE2" w:rsidRPr="00652DE2" w:rsidRDefault="00652DE2" w:rsidP="00652DE2">
      <w:pPr>
        <w:spacing w:after="0"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The closing date for deferral applications is 30 April.  Requests for deferrals after this date should be made </w:t>
      </w:r>
      <w:r w:rsidR="004D0393">
        <w:rPr>
          <w:rFonts w:cstheme="minorHAnsi"/>
          <w:sz w:val="18"/>
          <w:szCs w:val="20"/>
        </w:rPr>
        <w:t xml:space="preserve">to the relevant School </w:t>
      </w:r>
      <w:r>
        <w:rPr>
          <w:rFonts w:cstheme="minorHAnsi"/>
          <w:sz w:val="18"/>
          <w:szCs w:val="20"/>
        </w:rPr>
        <w:t xml:space="preserve">using the Exceptional Circumstances Form.  For further information </w:t>
      </w:r>
      <w:r w:rsidR="004D0393">
        <w:rPr>
          <w:rFonts w:cstheme="minorHAnsi"/>
          <w:sz w:val="18"/>
          <w:szCs w:val="20"/>
        </w:rPr>
        <w:t xml:space="preserve">on deferrals </w:t>
      </w:r>
      <w:r>
        <w:rPr>
          <w:rFonts w:cstheme="minorHAnsi"/>
          <w:sz w:val="18"/>
          <w:szCs w:val="20"/>
        </w:rPr>
        <w:t xml:space="preserve">please contact the Admissions Office at 074 9186125. </w:t>
      </w:r>
    </w:p>
    <w:sectPr w:rsidR="00652DE2" w:rsidRPr="00652DE2" w:rsidSect="004D0393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0158"/>
    <w:multiLevelType w:val="hybridMultilevel"/>
    <w:tmpl w:val="59DCC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F68"/>
    <w:multiLevelType w:val="hybridMultilevel"/>
    <w:tmpl w:val="0D000E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1536"/>
    <w:multiLevelType w:val="hybridMultilevel"/>
    <w:tmpl w:val="7CEE162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564218"/>
    <w:multiLevelType w:val="hybridMultilevel"/>
    <w:tmpl w:val="8494A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41"/>
    <w:multiLevelType w:val="hybridMultilevel"/>
    <w:tmpl w:val="5C4076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F6"/>
    <w:rsid w:val="000357DB"/>
    <w:rsid w:val="00193AF6"/>
    <w:rsid w:val="001C217E"/>
    <w:rsid w:val="001E2711"/>
    <w:rsid w:val="001E4BDC"/>
    <w:rsid w:val="001F46AB"/>
    <w:rsid w:val="00292C87"/>
    <w:rsid w:val="002C16D5"/>
    <w:rsid w:val="00464163"/>
    <w:rsid w:val="004D0393"/>
    <w:rsid w:val="00562D39"/>
    <w:rsid w:val="005927AA"/>
    <w:rsid w:val="00652DE2"/>
    <w:rsid w:val="006C1157"/>
    <w:rsid w:val="00706F03"/>
    <w:rsid w:val="007073A4"/>
    <w:rsid w:val="007333F7"/>
    <w:rsid w:val="00766DF1"/>
    <w:rsid w:val="007D5AA2"/>
    <w:rsid w:val="008977B4"/>
    <w:rsid w:val="008F5F53"/>
    <w:rsid w:val="009320CA"/>
    <w:rsid w:val="00933887"/>
    <w:rsid w:val="00A627FF"/>
    <w:rsid w:val="00A942F1"/>
    <w:rsid w:val="00AC12A4"/>
    <w:rsid w:val="00B00B01"/>
    <w:rsid w:val="00BA1E92"/>
    <w:rsid w:val="00C54740"/>
    <w:rsid w:val="00C62F12"/>
    <w:rsid w:val="00CC7D1C"/>
    <w:rsid w:val="00D8042B"/>
    <w:rsid w:val="00DA7C22"/>
    <w:rsid w:val="00E06C45"/>
    <w:rsid w:val="00E27B8E"/>
    <w:rsid w:val="00E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3455"/>
  <w15:chartTrackingRefBased/>
  <w15:docId w15:val="{3F3E261D-AB8D-42CE-91A6-83E36CB9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06F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McMorrow</dc:creator>
  <cp:keywords/>
  <dc:description/>
  <cp:lastModifiedBy>McMorrow Rory</cp:lastModifiedBy>
  <cp:revision>2</cp:revision>
  <cp:lastPrinted>2019-09-05T12:24:00Z</cp:lastPrinted>
  <dcterms:created xsi:type="dcterms:W3CDTF">2019-11-20T09:09:00Z</dcterms:created>
  <dcterms:modified xsi:type="dcterms:W3CDTF">2019-11-20T09:09:00Z</dcterms:modified>
</cp:coreProperties>
</file>